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rFonts w:hint="default" w:ascii="Times New Roman" w:hAnsi="Times New Roman" w:eastAsia="黑体" w:cs="Times New Roman"/>
          <w:color w:val="auto"/>
          <w:sz w:val="56"/>
          <w:szCs w:val="56"/>
          <w:lang w:eastAsia="zh-CN"/>
        </w:rPr>
      </w:pPr>
    </w:p>
    <w:p>
      <w:pPr>
        <w:pStyle w:val="11"/>
        <w:jc w:val="center"/>
        <w:rPr>
          <w:rFonts w:hint="default" w:ascii="Times New Roman" w:hAnsi="Times New Roman" w:cs="Times New Roman"/>
          <w:color w:val="auto"/>
          <w:sz w:val="56"/>
          <w:szCs w:val="56"/>
        </w:rPr>
      </w:pPr>
    </w:p>
    <w:p>
      <w:pPr>
        <w:pStyle w:val="11"/>
        <w:jc w:val="center"/>
        <w:rPr>
          <w:rFonts w:hint="default" w:ascii="Times New Roman" w:hAnsi="Times New Roman" w:cs="Times New Roman"/>
          <w:color w:val="auto"/>
          <w:sz w:val="84"/>
          <w:szCs w:val="84"/>
        </w:rPr>
      </w:pPr>
    </w:p>
    <w:p>
      <w:pPr>
        <w:pStyle w:val="11"/>
        <w:jc w:val="center"/>
        <w:rPr>
          <w:rFonts w:hint="default" w:ascii="Times New Roman" w:hAnsi="Times New Roman" w:cs="Times New Roman"/>
          <w:color w:val="auto"/>
          <w:sz w:val="84"/>
          <w:szCs w:val="84"/>
        </w:rPr>
      </w:pPr>
    </w:p>
    <w:p>
      <w:pPr>
        <w:pStyle w:val="11"/>
        <w:jc w:val="center"/>
        <w:rPr>
          <w:rFonts w:hint="default" w:ascii="Times New Roman" w:hAnsi="Times New Roman" w:cs="Times New Roman"/>
          <w:color w:val="auto"/>
          <w:sz w:val="84"/>
          <w:szCs w:val="84"/>
        </w:rPr>
      </w:pPr>
      <w:r>
        <w:rPr>
          <w:rFonts w:hint="default" w:ascii="Times New Roman" w:hAnsi="Times New Roman" w:cs="Times New Roman"/>
          <w:color w:val="auto"/>
          <w:sz w:val="84"/>
          <w:szCs w:val="84"/>
        </w:rPr>
        <w:t>2021年度</w:t>
      </w:r>
    </w:p>
    <w:p>
      <w:pPr>
        <w:pStyle w:val="11"/>
        <w:jc w:val="center"/>
        <w:rPr>
          <w:rFonts w:hint="default" w:ascii="Times New Roman" w:hAnsi="Times New Roman" w:cs="Times New Roman"/>
          <w:color w:val="auto"/>
          <w:sz w:val="84"/>
          <w:szCs w:val="84"/>
        </w:rPr>
      </w:pPr>
      <w:r>
        <w:rPr>
          <w:rFonts w:hint="default" w:ascii="Times New Roman" w:hAnsi="Times New Roman" w:cs="Times New Roman"/>
          <w:color w:val="auto"/>
          <w:sz w:val="84"/>
          <w:szCs w:val="84"/>
          <w:lang w:eastAsia="zh-CN"/>
        </w:rPr>
        <w:t>湖南省国际人才智力交流协作中心</w:t>
      </w:r>
      <w:r>
        <w:rPr>
          <w:rFonts w:hint="default" w:ascii="Times New Roman" w:hAnsi="Times New Roman" w:cs="Times New Roman"/>
          <w:color w:val="auto"/>
          <w:sz w:val="84"/>
          <w:szCs w:val="84"/>
        </w:rPr>
        <w:t>部门决算</w:t>
      </w:r>
    </w:p>
    <w:p>
      <w:pPr>
        <w:pStyle w:val="11"/>
        <w:jc w:val="center"/>
        <w:rPr>
          <w:rFonts w:hint="default" w:ascii="Times New Roman" w:hAnsi="Times New Roman" w:cs="Times New Roman"/>
          <w:color w:val="auto"/>
          <w:sz w:val="56"/>
          <w:szCs w:val="56"/>
        </w:rPr>
      </w:pPr>
    </w:p>
    <w:p>
      <w:pPr>
        <w:pStyle w:val="11"/>
        <w:jc w:val="center"/>
        <w:rPr>
          <w:rFonts w:hint="default" w:ascii="Times New Roman" w:hAnsi="Times New Roman" w:cs="Times New Roman"/>
          <w:color w:val="auto"/>
          <w:sz w:val="56"/>
          <w:szCs w:val="56"/>
        </w:rPr>
      </w:pPr>
    </w:p>
    <w:p>
      <w:pPr>
        <w:pStyle w:val="11"/>
        <w:jc w:val="center"/>
        <w:rPr>
          <w:rFonts w:hint="default" w:ascii="Times New Roman" w:hAnsi="Times New Roman" w:cs="Times New Roman"/>
          <w:color w:val="auto"/>
          <w:sz w:val="56"/>
          <w:szCs w:val="56"/>
        </w:rPr>
      </w:pPr>
    </w:p>
    <w:p>
      <w:pPr>
        <w:pStyle w:val="11"/>
        <w:jc w:val="center"/>
        <w:rPr>
          <w:rFonts w:hint="default" w:ascii="Times New Roman" w:hAnsi="Times New Roman" w:cs="Times New Roman"/>
          <w:color w:val="auto"/>
          <w:sz w:val="56"/>
          <w:szCs w:val="56"/>
        </w:rPr>
      </w:pPr>
    </w:p>
    <w:p>
      <w:pPr>
        <w:pStyle w:val="11"/>
        <w:jc w:val="center"/>
        <w:rPr>
          <w:rFonts w:hint="default" w:ascii="Times New Roman" w:hAnsi="Times New Roman" w:cs="Times New Roman"/>
          <w:color w:val="auto"/>
          <w:sz w:val="32"/>
          <w:szCs w:val="32"/>
        </w:rPr>
      </w:pPr>
    </w:p>
    <w:p>
      <w:pPr>
        <w:pStyle w:val="11"/>
        <w:jc w:val="center"/>
        <w:rPr>
          <w:rFonts w:hint="default" w:ascii="Times New Roman" w:hAnsi="Times New Roman" w:cs="Times New Roman"/>
          <w:color w:val="auto"/>
          <w:sz w:val="32"/>
          <w:szCs w:val="32"/>
        </w:rPr>
      </w:pPr>
    </w:p>
    <w:p>
      <w:pPr>
        <w:pStyle w:val="11"/>
        <w:jc w:val="center"/>
        <w:rPr>
          <w:rFonts w:hint="default" w:ascii="Times New Roman" w:hAnsi="Times New Roman" w:cs="Times New Roman"/>
          <w:color w:val="auto"/>
          <w:sz w:val="32"/>
          <w:szCs w:val="32"/>
        </w:rPr>
      </w:pPr>
    </w:p>
    <w:p>
      <w:pPr>
        <w:pStyle w:val="11"/>
        <w:spacing w:line="500" w:lineRule="exact"/>
        <w:jc w:val="center"/>
        <w:rPr>
          <w:rFonts w:hint="default" w:ascii="Times New Roman" w:hAnsi="Times New Roman" w:eastAsia="黑体" w:cs="Times New Roman"/>
          <w:b w:val="0"/>
          <w:bCs/>
          <w:color w:val="auto"/>
          <w:sz w:val="36"/>
          <w:szCs w:val="28"/>
        </w:rPr>
      </w:pPr>
      <w:r>
        <w:rPr>
          <w:rFonts w:hint="default" w:ascii="Times New Roman" w:hAnsi="Times New Roman" w:eastAsia="黑体" w:cs="Times New Roman"/>
          <w:b w:val="0"/>
          <w:bCs/>
          <w:color w:val="auto"/>
          <w:sz w:val="36"/>
          <w:szCs w:val="28"/>
        </w:rPr>
        <w:t>目录</w:t>
      </w:r>
    </w:p>
    <w:p>
      <w:pPr>
        <w:pStyle w:val="11"/>
        <w:keepNext w:val="0"/>
        <w:keepLines w:val="0"/>
        <w:pageBreakBefore w:val="0"/>
        <w:widowControl w:val="0"/>
        <w:kinsoku/>
        <w:wordWrap/>
        <w:overflowPunct/>
        <w:topLinePunct w:val="0"/>
        <w:bidi w:val="0"/>
        <w:snapToGrid/>
        <w:spacing w:line="480" w:lineRule="exact"/>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第一部分</w:t>
      </w:r>
      <w:r>
        <w:rPr>
          <w:rFonts w:hint="default" w:ascii="Times New Roman" w:hAnsi="Times New Roman" w:eastAsia="黑体" w:cs="Times New Roman"/>
          <w:b w:val="0"/>
          <w:bCs/>
          <w:color w:val="auto"/>
          <w:sz w:val="28"/>
          <w:szCs w:val="28"/>
          <w:lang w:val="en-US" w:eastAsia="zh-CN"/>
        </w:rPr>
        <w:t xml:space="preserve"> </w:t>
      </w:r>
      <w:r>
        <w:rPr>
          <w:rFonts w:hint="default" w:ascii="Times New Roman" w:hAnsi="Times New Roman" w:eastAsia="黑体" w:cs="Times New Roman"/>
          <w:b w:val="0"/>
          <w:bCs/>
          <w:color w:val="auto"/>
          <w:sz w:val="28"/>
          <w:szCs w:val="28"/>
        </w:rPr>
        <w:t>湖南省国际人才智力交流协作中心单位概况</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default" w:ascii="Times New Roman" w:hAnsi="Times New Roman" w:cs="Times New Roman" w:eastAsiaTheme="minorEastAsia"/>
          <w:color w:val="auto"/>
          <w:sz w:val="28"/>
          <w:szCs w:val="28"/>
        </w:rPr>
      </w:pPr>
      <w:r>
        <w:rPr>
          <w:rFonts w:hint="default" w:ascii="Times New Roman" w:hAnsi="Times New Roman" w:cs="Times New Roman" w:eastAsiaTheme="minorEastAsia"/>
          <w:color w:val="auto"/>
          <w:sz w:val="28"/>
          <w:szCs w:val="28"/>
        </w:rPr>
        <w:t>一、部门职责</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default" w:ascii="Times New Roman" w:hAnsi="Times New Roman" w:cs="Times New Roman" w:eastAsiaTheme="minorEastAsia"/>
          <w:color w:val="auto"/>
          <w:sz w:val="28"/>
          <w:szCs w:val="28"/>
        </w:rPr>
      </w:pPr>
      <w:r>
        <w:rPr>
          <w:rFonts w:hint="default" w:ascii="Times New Roman" w:hAnsi="Times New Roman" w:cs="Times New Roman" w:eastAsiaTheme="minorEastAsia"/>
          <w:color w:val="auto"/>
          <w:sz w:val="28"/>
          <w:szCs w:val="28"/>
        </w:rPr>
        <w:t>二、机构设置</w:t>
      </w:r>
    </w:p>
    <w:p>
      <w:pPr>
        <w:pStyle w:val="11"/>
        <w:keepNext w:val="0"/>
        <w:keepLines w:val="0"/>
        <w:pageBreakBefore w:val="0"/>
        <w:widowControl w:val="0"/>
        <w:kinsoku/>
        <w:wordWrap/>
        <w:overflowPunct/>
        <w:topLinePunct w:val="0"/>
        <w:bidi w:val="0"/>
        <w:snapToGrid/>
        <w:spacing w:line="480" w:lineRule="exact"/>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第二部分</w:t>
      </w:r>
      <w:r>
        <w:rPr>
          <w:rFonts w:hint="default" w:ascii="Times New Roman" w:hAnsi="Times New Roman" w:eastAsia="黑体" w:cs="Times New Roman"/>
          <w:b w:val="0"/>
          <w:bCs/>
          <w:color w:val="auto"/>
          <w:sz w:val="28"/>
          <w:szCs w:val="28"/>
          <w:lang w:val="en-US" w:eastAsia="zh-CN"/>
        </w:rPr>
        <w:t xml:space="preserve"> </w:t>
      </w:r>
      <w:r>
        <w:rPr>
          <w:rFonts w:hint="default" w:ascii="Times New Roman" w:hAnsi="Times New Roman" w:eastAsia="黑体" w:cs="Times New Roman"/>
          <w:b w:val="0"/>
          <w:bCs/>
          <w:color w:val="auto"/>
          <w:sz w:val="28"/>
          <w:szCs w:val="28"/>
        </w:rPr>
        <w:t>2021年度部门决算表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default" w:ascii="Times New Roman" w:hAnsi="Times New Roman" w:cs="Times New Roman" w:eastAsiaTheme="minorEastAsia"/>
          <w:color w:val="auto"/>
          <w:sz w:val="28"/>
          <w:szCs w:val="28"/>
        </w:rPr>
      </w:pPr>
      <w:r>
        <w:rPr>
          <w:rFonts w:hint="default" w:ascii="Times New Roman" w:hAnsi="Times New Roman" w:cs="Times New Roman" w:eastAsiaTheme="minorEastAsia"/>
          <w:color w:val="auto"/>
          <w:sz w:val="28"/>
          <w:szCs w:val="28"/>
        </w:rPr>
        <w:t>一、收入支出决算总表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default" w:ascii="Times New Roman" w:hAnsi="Times New Roman" w:cs="Times New Roman" w:eastAsiaTheme="minorEastAsia"/>
          <w:color w:val="auto"/>
          <w:sz w:val="28"/>
          <w:szCs w:val="28"/>
        </w:rPr>
      </w:pPr>
      <w:r>
        <w:rPr>
          <w:rFonts w:hint="default" w:ascii="Times New Roman" w:hAnsi="Times New Roman" w:cs="Times New Roman" w:eastAsiaTheme="minorEastAsia"/>
          <w:color w:val="auto"/>
          <w:sz w:val="28"/>
          <w:szCs w:val="28"/>
        </w:rPr>
        <w:t>二、收入决算表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default" w:ascii="Times New Roman" w:hAnsi="Times New Roman" w:cs="Times New Roman" w:eastAsiaTheme="minorEastAsia"/>
          <w:color w:val="auto"/>
          <w:sz w:val="28"/>
          <w:szCs w:val="28"/>
        </w:rPr>
      </w:pPr>
      <w:r>
        <w:rPr>
          <w:rFonts w:hint="default" w:ascii="Times New Roman" w:hAnsi="Times New Roman" w:cs="Times New Roman" w:eastAsiaTheme="minorEastAsia"/>
          <w:color w:val="auto"/>
          <w:sz w:val="28"/>
          <w:szCs w:val="28"/>
        </w:rPr>
        <w:t>三、支出决算表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default" w:ascii="Times New Roman" w:hAnsi="Times New Roman" w:cs="Times New Roman" w:eastAsiaTheme="minorEastAsia"/>
          <w:color w:val="auto"/>
          <w:sz w:val="28"/>
          <w:szCs w:val="28"/>
        </w:rPr>
      </w:pPr>
      <w:r>
        <w:rPr>
          <w:rFonts w:hint="default" w:ascii="Times New Roman" w:hAnsi="Times New Roman" w:cs="Times New Roman" w:eastAsiaTheme="minorEastAsia"/>
          <w:color w:val="auto"/>
          <w:sz w:val="28"/>
          <w:szCs w:val="28"/>
        </w:rPr>
        <w:t>四、财政拨款收入支出决算总表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default" w:ascii="Times New Roman" w:hAnsi="Times New Roman" w:cs="Times New Roman" w:eastAsiaTheme="minorEastAsia"/>
          <w:color w:val="auto"/>
          <w:sz w:val="28"/>
          <w:szCs w:val="28"/>
        </w:rPr>
      </w:pPr>
      <w:r>
        <w:rPr>
          <w:rFonts w:hint="default" w:ascii="Times New Roman" w:hAnsi="Times New Roman" w:cs="Times New Roman" w:eastAsiaTheme="minorEastAsia"/>
          <w:color w:val="auto"/>
          <w:sz w:val="28"/>
          <w:szCs w:val="28"/>
        </w:rPr>
        <w:t>五、一般公共预算财政拨款支出决算表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default" w:ascii="Times New Roman" w:hAnsi="Times New Roman" w:cs="Times New Roman" w:eastAsiaTheme="minorEastAsia"/>
          <w:color w:val="auto"/>
          <w:sz w:val="28"/>
          <w:szCs w:val="28"/>
        </w:rPr>
      </w:pPr>
      <w:r>
        <w:rPr>
          <w:rFonts w:hint="default" w:ascii="Times New Roman" w:hAnsi="Times New Roman" w:cs="Times New Roman" w:eastAsiaTheme="minorEastAsia"/>
          <w:color w:val="auto"/>
          <w:sz w:val="28"/>
          <w:szCs w:val="28"/>
        </w:rPr>
        <w:t>六、一般公共预算财政拨款基本支出决算明细表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default" w:ascii="Times New Roman" w:hAnsi="Times New Roman" w:cs="Times New Roman" w:eastAsiaTheme="minorEastAsia"/>
          <w:color w:val="auto"/>
          <w:sz w:val="28"/>
          <w:szCs w:val="28"/>
        </w:rPr>
      </w:pPr>
      <w:r>
        <w:rPr>
          <w:rFonts w:hint="default" w:ascii="Times New Roman" w:hAnsi="Times New Roman" w:cs="Times New Roman" w:eastAsiaTheme="minorEastAsia"/>
          <w:color w:val="auto"/>
          <w:sz w:val="28"/>
          <w:szCs w:val="28"/>
        </w:rPr>
        <w:t>七、一般公共预算财政拨款“三公”经费支出决算表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default" w:ascii="Times New Roman" w:hAnsi="Times New Roman" w:cs="Times New Roman" w:eastAsiaTheme="minorEastAsia"/>
          <w:color w:val="auto"/>
          <w:sz w:val="28"/>
          <w:szCs w:val="28"/>
        </w:rPr>
      </w:pPr>
      <w:r>
        <w:rPr>
          <w:rFonts w:hint="default" w:ascii="Times New Roman" w:hAnsi="Times New Roman" w:cs="Times New Roman" w:eastAsiaTheme="minorEastAsia"/>
          <w:color w:val="auto"/>
          <w:sz w:val="28"/>
          <w:szCs w:val="28"/>
        </w:rPr>
        <w:t>八、政府性基金预算财政拨款收入支出决算表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default" w:ascii="Times New Roman" w:hAnsi="Times New Roman" w:cs="Times New Roman" w:eastAsiaTheme="minorEastAsia"/>
          <w:color w:val="auto"/>
          <w:sz w:val="28"/>
          <w:szCs w:val="28"/>
        </w:rPr>
      </w:pPr>
      <w:r>
        <w:rPr>
          <w:rFonts w:hint="default" w:ascii="Times New Roman" w:hAnsi="Times New Roman" w:cs="Times New Roman" w:eastAsiaTheme="minorEastAsia"/>
          <w:color w:val="auto"/>
          <w:sz w:val="28"/>
          <w:szCs w:val="28"/>
        </w:rPr>
        <w:t>九、国有资本经营预算财政拨款支出决算表</w:t>
      </w:r>
    </w:p>
    <w:p>
      <w:pPr>
        <w:pStyle w:val="11"/>
        <w:keepNext w:val="0"/>
        <w:keepLines w:val="0"/>
        <w:pageBreakBefore w:val="0"/>
        <w:widowControl w:val="0"/>
        <w:kinsoku/>
        <w:wordWrap/>
        <w:overflowPunct/>
        <w:topLinePunct w:val="0"/>
        <w:bidi w:val="0"/>
        <w:snapToGrid/>
        <w:spacing w:line="480" w:lineRule="exact"/>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第三部分</w:t>
      </w:r>
      <w:r>
        <w:rPr>
          <w:rFonts w:hint="default" w:ascii="Times New Roman" w:hAnsi="Times New Roman" w:eastAsia="黑体" w:cs="Times New Roman"/>
          <w:b w:val="0"/>
          <w:bCs/>
          <w:color w:val="auto"/>
          <w:sz w:val="28"/>
          <w:szCs w:val="28"/>
          <w:lang w:val="en-US" w:eastAsia="zh-CN"/>
        </w:rPr>
        <w:t xml:space="preserve"> </w:t>
      </w:r>
      <w:r>
        <w:rPr>
          <w:rFonts w:hint="default" w:ascii="Times New Roman" w:hAnsi="Times New Roman" w:eastAsia="黑体" w:cs="Times New Roman"/>
          <w:b w:val="0"/>
          <w:bCs/>
          <w:color w:val="auto"/>
          <w:sz w:val="28"/>
          <w:szCs w:val="28"/>
        </w:rPr>
        <w:t>2021年度部门决算情况说明</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default" w:ascii="Times New Roman" w:hAnsi="Times New Roman" w:cs="Times New Roman" w:eastAsiaTheme="minorEastAsia"/>
          <w:color w:val="auto"/>
          <w:sz w:val="28"/>
          <w:szCs w:val="28"/>
        </w:rPr>
      </w:pPr>
      <w:r>
        <w:rPr>
          <w:rFonts w:hint="default" w:ascii="Times New Roman" w:hAnsi="Times New Roman" w:cs="Times New Roman" w:eastAsiaTheme="minorEastAsia"/>
          <w:color w:val="auto"/>
          <w:sz w:val="28"/>
          <w:szCs w:val="28"/>
        </w:rPr>
        <w:t>一、收入支出决算总体情况说明</w:t>
      </w:r>
    </w:p>
    <w:p>
      <w:pPr>
        <w:keepNext w:val="0"/>
        <w:keepLines w:val="0"/>
        <w:pageBreakBefore w:val="0"/>
        <w:widowControl w:val="0"/>
        <w:kinsoku/>
        <w:wordWrap/>
        <w:overflowPunct/>
        <w:topLinePunct w:val="0"/>
        <w:bidi w:val="0"/>
        <w:snapToGrid/>
        <w:spacing w:line="480" w:lineRule="exact"/>
        <w:ind w:firstLine="700" w:firstLineChars="250"/>
        <w:jc w:val="left"/>
        <w:textAlignment w:val="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二、收入决算情况说明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ascii="Times New Roman" w:hAnsi="Times New Roman" w:cs="Times New Roman"/>
          <w:color w:val="auto"/>
          <w:kern w:val="0"/>
          <w:sz w:val="28"/>
          <w:szCs w:val="28"/>
        </w:rPr>
      </w:pPr>
      <w:r>
        <w:rPr>
          <w:rFonts w:hint="default" w:ascii="Times New Roman" w:hAnsi="Times New Roman" w:cs="Times New Roman"/>
          <w:color w:val="auto"/>
          <w:kern w:val="0"/>
          <w:sz w:val="28"/>
          <w:szCs w:val="28"/>
        </w:rPr>
        <w:t>三、支出决算情况说明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ascii="Times New Roman" w:hAnsi="Times New Roman" w:cs="Times New Roman"/>
          <w:color w:val="auto"/>
          <w:kern w:val="0"/>
          <w:sz w:val="28"/>
          <w:szCs w:val="28"/>
        </w:rPr>
      </w:pPr>
      <w:r>
        <w:rPr>
          <w:rFonts w:hint="default" w:ascii="Times New Roman" w:hAnsi="Times New Roman" w:cs="Times New Roman"/>
          <w:color w:val="auto"/>
          <w:kern w:val="0"/>
          <w:sz w:val="28"/>
          <w:szCs w:val="28"/>
        </w:rPr>
        <w:t>四、财政拨款收入支出决算总体情况说明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ascii="Times New Roman" w:hAnsi="Times New Roman" w:cs="Times New Roman"/>
          <w:color w:val="auto"/>
          <w:kern w:val="0"/>
          <w:sz w:val="28"/>
          <w:szCs w:val="28"/>
        </w:rPr>
      </w:pPr>
      <w:r>
        <w:rPr>
          <w:rFonts w:hint="default" w:ascii="Times New Roman" w:hAnsi="Times New Roman" w:cs="Times New Roman"/>
          <w:color w:val="auto"/>
          <w:kern w:val="0"/>
          <w:sz w:val="28"/>
          <w:szCs w:val="28"/>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ascii="Times New Roman" w:hAnsi="Times New Roman" w:cs="Times New Roman"/>
          <w:color w:val="auto"/>
          <w:kern w:val="0"/>
          <w:sz w:val="28"/>
          <w:szCs w:val="28"/>
        </w:rPr>
      </w:pPr>
      <w:r>
        <w:rPr>
          <w:rFonts w:hint="default" w:ascii="Times New Roman" w:hAnsi="Times New Roman" w:cs="Times New Roman"/>
          <w:color w:val="auto"/>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ascii="Times New Roman" w:hAnsi="Times New Roman" w:cs="Times New Roman"/>
          <w:color w:val="auto"/>
          <w:kern w:val="0"/>
          <w:sz w:val="28"/>
          <w:szCs w:val="28"/>
        </w:rPr>
      </w:pPr>
      <w:r>
        <w:rPr>
          <w:rFonts w:hint="default" w:ascii="Times New Roman" w:hAnsi="Times New Roman" w:cs="Times New Roman"/>
          <w:color w:val="auto"/>
          <w:kern w:val="0"/>
          <w:sz w:val="28"/>
          <w:szCs w:val="28"/>
        </w:rPr>
        <w:t>七、一般公共预算财政拨款“三公”经费支出决算情况说明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ascii="Times New Roman" w:hAnsi="Times New Roman" w:cs="Times New Roman"/>
          <w:color w:val="auto"/>
          <w:kern w:val="0"/>
          <w:sz w:val="28"/>
          <w:szCs w:val="28"/>
        </w:rPr>
      </w:pPr>
      <w:r>
        <w:rPr>
          <w:rFonts w:hint="default" w:ascii="Times New Roman" w:hAnsi="Times New Roman" w:cs="Times New Roman"/>
          <w:color w:val="auto"/>
          <w:kern w:val="0"/>
          <w:sz w:val="28"/>
          <w:szCs w:val="28"/>
        </w:rPr>
        <w:t>八、政府性基金预算收入支出决算情况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ascii="Times New Roman" w:hAnsi="Times New Roman" w:cs="Times New Roman"/>
          <w:color w:val="auto"/>
          <w:kern w:val="0"/>
          <w:sz w:val="28"/>
          <w:szCs w:val="28"/>
        </w:rPr>
      </w:pPr>
      <w:r>
        <w:rPr>
          <w:rFonts w:hint="default" w:ascii="Times New Roman" w:hAnsi="Times New Roman" w:cs="Times New Roman"/>
          <w:color w:val="auto"/>
          <w:kern w:val="0"/>
          <w:sz w:val="28"/>
          <w:szCs w:val="28"/>
        </w:rPr>
        <w:t>九、机关运行经费支出说明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ascii="Times New Roman" w:hAnsi="Times New Roman" w:cs="Times New Roman"/>
          <w:color w:val="auto"/>
          <w:kern w:val="0"/>
          <w:sz w:val="28"/>
          <w:szCs w:val="28"/>
        </w:rPr>
      </w:pPr>
      <w:r>
        <w:rPr>
          <w:rFonts w:hint="default" w:ascii="Times New Roman" w:hAnsi="Times New Roman" w:cs="Times New Roman"/>
          <w:color w:val="auto"/>
          <w:kern w:val="0"/>
          <w:sz w:val="28"/>
          <w:szCs w:val="28"/>
        </w:rPr>
        <w:t>十、一般性支出情况说明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ascii="Times New Roman" w:hAnsi="Times New Roman" w:cs="Times New Roman"/>
          <w:color w:val="auto"/>
          <w:kern w:val="0"/>
          <w:sz w:val="28"/>
          <w:szCs w:val="28"/>
        </w:rPr>
      </w:pPr>
      <w:r>
        <w:rPr>
          <w:rFonts w:hint="default" w:ascii="Times New Roman" w:hAnsi="Times New Roman" w:cs="Times New Roman"/>
          <w:color w:val="auto"/>
          <w:kern w:val="0"/>
          <w:sz w:val="28"/>
          <w:szCs w:val="28"/>
        </w:rPr>
        <w:t>十一、政府采购支出说明</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default" w:ascii="Times New Roman" w:hAnsi="Times New Roman" w:cs="Times New Roman" w:eastAsiaTheme="minorEastAsia"/>
          <w:color w:val="auto"/>
          <w:sz w:val="28"/>
          <w:szCs w:val="28"/>
        </w:rPr>
      </w:pPr>
      <w:r>
        <w:rPr>
          <w:rFonts w:hint="default" w:ascii="Times New Roman" w:hAnsi="Times New Roman" w:cs="Times New Roman" w:eastAsiaTheme="minorEastAsia"/>
          <w:color w:val="auto"/>
          <w:sz w:val="28"/>
          <w:szCs w:val="28"/>
        </w:rPr>
        <w:t>十二、国有资产占用情况说明</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default" w:ascii="Times New Roman" w:hAnsi="Times New Roman" w:cs="Times New Roman" w:eastAsiaTheme="minorEastAsia"/>
          <w:color w:val="auto"/>
          <w:sz w:val="28"/>
          <w:szCs w:val="28"/>
          <w:lang w:eastAsia="zh-CN"/>
        </w:rPr>
      </w:pPr>
      <w:r>
        <w:rPr>
          <w:rFonts w:hint="default" w:ascii="Times New Roman" w:hAnsi="Times New Roman" w:cs="Times New Roman" w:eastAsiaTheme="minorEastAsia"/>
          <w:color w:val="auto"/>
          <w:sz w:val="28"/>
          <w:szCs w:val="28"/>
        </w:rPr>
        <w:t>十三、关于202</w:t>
      </w:r>
      <w:r>
        <w:rPr>
          <w:rFonts w:hint="default" w:ascii="Times New Roman" w:hAnsi="Times New Roman" w:cs="Times New Roman" w:eastAsiaTheme="minorEastAsia"/>
          <w:color w:val="auto"/>
          <w:sz w:val="28"/>
          <w:szCs w:val="28"/>
          <w:lang w:val="en-US" w:eastAsia="zh-CN"/>
        </w:rPr>
        <w:t>1</w:t>
      </w:r>
      <w:r>
        <w:rPr>
          <w:rFonts w:hint="default" w:ascii="Times New Roman" w:hAnsi="Times New Roman" w:cs="Times New Roman" w:eastAsiaTheme="minorEastAsia"/>
          <w:color w:val="auto"/>
          <w:sz w:val="28"/>
          <w:szCs w:val="28"/>
        </w:rPr>
        <w:t>年度预算绩效情况的说明</w:t>
      </w:r>
    </w:p>
    <w:p>
      <w:pPr>
        <w:pStyle w:val="11"/>
        <w:keepNext w:val="0"/>
        <w:keepLines w:val="0"/>
        <w:pageBreakBefore w:val="0"/>
        <w:widowControl w:val="0"/>
        <w:kinsoku/>
        <w:wordWrap/>
        <w:overflowPunct/>
        <w:topLinePunct w:val="0"/>
        <w:bidi w:val="0"/>
        <w:snapToGrid/>
        <w:spacing w:line="480" w:lineRule="exact"/>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第四部分</w:t>
      </w:r>
      <w:r>
        <w:rPr>
          <w:rFonts w:hint="default" w:ascii="Times New Roman" w:hAnsi="Times New Roman" w:eastAsia="黑体" w:cs="Times New Roman"/>
          <w:b w:val="0"/>
          <w:bCs/>
          <w:color w:val="auto"/>
          <w:sz w:val="28"/>
          <w:szCs w:val="28"/>
          <w:lang w:val="en-US" w:eastAsia="zh-CN"/>
        </w:rPr>
        <w:t xml:space="preserve"> </w:t>
      </w:r>
      <w:r>
        <w:rPr>
          <w:rFonts w:hint="default" w:ascii="Times New Roman" w:hAnsi="Times New Roman" w:eastAsia="黑体" w:cs="Times New Roman"/>
          <w:b w:val="0"/>
          <w:bCs/>
          <w:color w:val="auto"/>
          <w:sz w:val="28"/>
          <w:szCs w:val="28"/>
        </w:rPr>
        <w:t>名词解释</w:t>
      </w:r>
    </w:p>
    <w:p>
      <w:pPr>
        <w:jc w:val="center"/>
        <w:rPr>
          <w:rFonts w:hint="default" w:ascii="Times New Roman" w:hAnsi="Times New Roman" w:cs="Times New Roman"/>
          <w:color w:val="auto"/>
          <w:sz w:val="72"/>
          <w:szCs w:val="72"/>
        </w:rPr>
      </w:pPr>
    </w:p>
    <w:p>
      <w:pPr>
        <w:jc w:val="center"/>
        <w:rPr>
          <w:rFonts w:hint="default" w:ascii="Times New Roman" w:hAnsi="Times New Roman" w:cs="Times New Roman"/>
          <w:color w:val="auto"/>
          <w:sz w:val="72"/>
          <w:szCs w:val="72"/>
        </w:rPr>
      </w:pPr>
    </w:p>
    <w:p>
      <w:pPr>
        <w:jc w:val="center"/>
        <w:rPr>
          <w:rFonts w:hint="default" w:ascii="Times New Roman" w:hAnsi="Times New Roman" w:cs="Times New Roman"/>
          <w:color w:val="auto"/>
          <w:sz w:val="72"/>
          <w:szCs w:val="72"/>
        </w:rPr>
      </w:pPr>
    </w:p>
    <w:p>
      <w:pPr>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84"/>
          <w:szCs w:val="84"/>
        </w:rPr>
      </w:pPr>
      <w:r>
        <w:rPr>
          <w:rFonts w:hint="default" w:ascii="Times New Roman" w:hAnsi="Times New Roman" w:cs="Times New Roman"/>
          <w:color w:val="auto"/>
          <w:sz w:val="84"/>
          <w:szCs w:val="84"/>
        </w:rPr>
        <w:t xml:space="preserve">第一部分 </w:t>
      </w:r>
    </w:p>
    <w:p>
      <w:pPr>
        <w:pStyle w:val="11"/>
        <w:jc w:val="center"/>
        <w:rPr>
          <w:rFonts w:hint="default" w:ascii="Times New Roman" w:hAnsi="Times New Roman" w:cs="Times New Roman"/>
          <w:color w:val="auto"/>
          <w:sz w:val="84"/>
          <w:szCs w:val="84"/>
        </w:rPr>
      </w:pPr>
    </w:p>
    <w:p>
      <w:pPr>
        <w:pStyle w:val="11"/>
        <w:jc w:val="center"/>
        <w:rPr>
          <w:rFonts w:hint="default" w:ascii="Times New Roman" w:hAnsi="Times New Roman" w:cs="Times New Roman"/>
          <w:color w:val="auto"/>
          <w:sz w:val="84"/>
          <w:szCs w:val="84"/>
        </w:rPr>
      </w:pPr>
      <w:r>
        <w:rPr>
          <w:rFonts w:hint="default" w:ascii="Times New Roman" w:hAnsi="Times New Roman" w:cs="Times New Roman"/>
          <w:color w:val="auto"/>
          <w:sz w:val="84"/>
          <w:szCs w:val="84"/>
        </w:rPr>
        <w:t>湖南省国际人才智力交流</w:t>
      </w:r>
    </w:p>
    <w:p>
      <w:pPr>
        <w:pStyle w:val="11"/>
        <w:jc w:val="center"/>
        <w:rPr>
          <w:rFonts w:hint="default" w:ascii="Times New Roman" w:hAnsi="Times New Roman" w:cs="Times New Roman"/>
          <w:color w:val="auto"/>
          <w:sz w:val="84"/>
          <w:szCs w:val="84"/>
        </w:rPr>
      </w:pPr>
      <w:r>
        <w:rPr>
          <w:rFonts w:hint="default" w:ascii="Times New Roman" w:hAnsi="Times New Roman" w:cs="Times New Roman"/>
          <w:color w:val="auto"/>
          <w:sz w:val="84"/>
          <w:szCs w:val="84"/>
        </w:rPr>
        <w:t>协作中心单位概况</w:t>
      </w:r>
    </w:p>
    <w:p>
      <w:pPr>
        <w:jc w:val="center"/>
        <w:rPr>
          <w:rFonts w:hint="default" w:ascii="Times New Roman" w:hAnsi="Times New Roman" w:cs="Times New Roman"/>
          <w:color w:val="auto"/>
          <w:sz w:val="72"/>
          <w:szCs w:val="72"/>
        </w:rPr>
      </w:pPr>
    </w:p>
    <w:p>
      <w:pPr>
        <w:jc w:val="center"/>
        <w:rPr>
          <w:rFonts w:hint="default" w:ascii="Times New Roman" w:hAnsi="Times New Roman" w:cs="Times New Roman"/>
          <w:color w:val="auto"/>
          <w:sz w:val="72"/>
          <w:szCs w:val="72"/>
        </w:rPr>
      </w:pPr>
    </w:p>
    <w:p>
      <w:pPr>
        <w:jc w:val="center"/>
        <w:rPr>
          <w:rFonts w:hint="default" w:ascii="Times New Roman" w:hAnsi="Times New Roman" w:cs="Times New Roman"/>
          <w:color w:val="auto"/>
          <w:sz w:val="72"/>
          <w:szCs w:val="72"/>
        </w:rPr>
      </w:pPr>
    </w:p>
    <w:p>
      <w:pPr>
        <w:jc w:val="center"/>
        <w:rPr>
          <w:rFonts w:hint="default" w:ascii="Times New Roman" w:hAnsi="Times New Roman" w:cs="Times New Roman"/>
          <w:color w:val="auto"/>
          <w:sz w:val="72"/>
          <w:szCs w:val="72"/>
        </w:rPr>
      </w:pPr>
    </w:p>
    <w:p>
      <w:pPr>
        <w:pStyle w:val="2"/>
        <w:rPr>
          <w:rFonts w:hint="default" w:ascii="Times New Roman" w:hAnsi="Times New Roman" w:cs="Times New Roman"/>
          <w:color w:val="auto"/>
          <w:sz w:val="72"/>
          <w:szCs w:val="72"/>
        </w:rPr>
      </w:pPr>
    </w:p>
    <w:p>
      <w:pPr>
        <w:pStyle w:val="12"/>
        <w:numPr>
          <w:ilvl w:val="0"/>
          <w:numId w:val="0"/>
        </w:numPr>
        <w:ind w:leftChars="0"/>
        <w:jc w:val="left"/>
        <w:rPr>
          <w:rFonts w:hint="default" w:ascii="Times New Roman" w:hAnsi="Times New Roman" w:eastAsia="黑体" w:cs="Times New Roman"/>
          <w:color w:val="auto"/>
          <w:sz w:val="32"/>
          <w:szCs w:val="32"/>
        </w:rPr>
      </w:pPr>
    </w:p>
    <w:p>
      <w:pPr>
        <w:pStyle w:val="12"/>
        <w:numPr>
          <w:ilvl w:val="0"/>
          <w:numId w:val="0"/>
        </w:numPr>
        <w:ind w:leftChars="0" w:firstLine="640" w:firstLineChars="200"/>
        <w:jc w:val="left"/>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lang w:eastAsia="zh-CN"/>
        </w:rPr>
        <w:t>一、</w:t>
      </w:r>
      <w:r>
        <w:rPr>
          <w:rFonts w:hint="default" w:ascii="Times New Roman" w:hAnsi="Times New Roman" w:eastAsia="黑体" w:cs="Times New Roman"/>
          <w:color w:val="auto"/>
          <w:sz w:val="32"/>
          <w:szCs w:val="32"/>
        </w:rPr>
        <w:t>部门职责</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cs="Times New Roman" w:eastAsiaTheme="minorEastAsia"/>
          <w:color w:val="auto"/>
          <w:sz w:val="32"/>
          <w:szCs w:val="32"/>
          <w:highlight w:val="none"/>
        </w:rPr>
      </w:pPr>
      <w:r>
        <w:rPr>
          <w:rFonts w:hint="default" w:ascii="Times New Roman" w:hAnsi="Times New Roman" w:cs="Times New Roman" w:eastAsiaTheme="minorEastAsia"/>
          <w:color w:val="auto"/>
          <w:sz w:val="32"/>
          <w:szCs w:val="32"/>
          <w:highlight w:val="none"/>
        </w:rPr>
        <w:t>湖南省国际人才智力交流协作中心</w:t>
      </w:r>
      <w:r>
        <w:rPr>
          <w:rFonts w:hint="default" w:ascii="Times New Roman" w:hAnsi="Times New Roman" w:cs="Times New Roman" w:eastAsiaTheme="minorEastAsia"/>
          <w:color w:val="auto"/>
          <w:sz w:val="32"/>
          <w:szCs w:val="32"/>
          <w:highlight w:val="none"/>
          <w:lang w:eastAsia="zh-CN"/>
        </w:rPr>
        <w:t>（以下简称“中心”）主要职责：</w:t>
      </w:r>
      <w:r>
        <w:rPr>
          <w:rFonts w:hint="default" w:ascii="Times New Roman" w:hAnsi="Times New Roman" w:cs="Times New Roman" w:eastAsiaTheme="minorEastAsia"/>
          <w:color w:val="auto"/>
          <w:sz w:val="32"/>
          <w:szCs w:val="32"/>
          <w:highlight w:val="none"/>
        </w:rPr>
        <w:t>承担科技创新人才的评价、服务等</w:t>
      </w:r>
      <w:r>
        <w:rPr>
          <w:rFonts w:hint="default" w:ascii="Times New Roman" w:hAnsi="Times New Roman" w:cs="Times New Roman" w:eastAsiaTheme="minorEastAsia"/>
          <w:color w:val="auto"/>
          <w:sz w:val="32"/>
          <w:szCs w:val="32"/>
          <w:highlight w:val="none"/>
          <w:lang w:eastAsia="zh-CN"/>
        </w:rPr>
        <w:t>相关</w:t>
      </w:r>
      <w:r>
        <w:rPr>
          <w:rFonts w:hint="default" w:ascii="Times New Roman" w:hAnsi="Times New Roman" w:cs="Times New Roman" w:eastAsiaTheme="minorEastAsia"/>
          <w:color w:val="auto"/>
          <w:sz w:val="32"/>
          <w:szCs w:val="32"/>
          <w:highlight w:val="none"/>
        </w:rPr>
        <w:t>事务性工作。承担省自然科学研究系列职称评审的事务性工作。承担高端外国专家引进、国际人才交流和服务等事务性工作。承担外国专家表彰奖励</w:t>
      </w:r>
      <w:r>
        <w:rPr>
          <w:rFonts w:hint="default" w:ascii="Times New Roman" w:hAnsi="Times New Roman" w:cs="Times New Roman" w:eastAsiaTheme="minorEastAsia"/>
          <w:color w:val="auto"/>
          <w:sz w:val="32"/>
          <w:szCs w:val="32"/>
          <w:highlight w:val="none"/>
          <w:lang w:eastAsia="zh-CN"/>
        </w:rPr>
        <w:t>和重点外国专家服务联络等</w:t>
      </w:r>
      <w:r>
        <w:rPr>
          <w:rFonts w:hint="default" w:ascii="Times New Roman" w:hAnsi="Times New Roman" w:cs="Times New Roman" w:eastAsiaTheme="minorEastAsia"/>
          <w:color w:val="auto"/>
          <w:sz w:val="32"/>
          <w:szCs w:val="32"/>
          <w:highlight w:val="none"/>
        </w:rPr>
        <w:t>事务性工作。承担湖南省院士咨询与交流促进会的日常服务工作。承担厅系统干部教育培训、科技</w:t>
      </w:r>
      <w:r>
        <w:rPr>
          <w:rFonts w:hint="default" w:ascii="Times New Roman" w:hAnsi="Times New Roman" w:cs="Times New Roman" w:eastAsiaTheme="minorEastAsia"/>
          <w:color w:val="auto"/>
          <w:sz w:val="32"/>
          <w:szCs w:val="32"/>
          <w:highlight w:val="none"/>
          <w:lang w:eastAsia="zh-CN"/>
        </w:rPr>
        <w:t>创新</w:t>
      </w:r>
      <w:r>
        <w:rPr>
          <w:rFonts w:hint="default" w:ascii="Times New Roman" w:hAnsi="Times New Roman" w:cs="Times New Roman" w:eastAsiaTheme="minorEastAsia"/>
          <w:color w:val="auto"/>
          <w:sz w:val="32"/>
          <w:szCs w:val="32"/>
          <w:highlight w:val="none"/>
        </w:rPr>
        <w:t>人才培训等事务性工作。</w:t>
      </w:r>
      <w:r>
        <w:rPr>
          <w:rFonts w:hint="default" w:ascii="Times New Roman" w:hAnsi="Times New Roman" w:cs="Times New Roman" w:eastAsiaTheme="minorEastAsia"/>
          <w:color w:val="auto"/>
          <w:sz w:val="32"/>
          <w:szCs w:val="32"/>
          <w:highlight w:val="none"/>
          <w:lang w:eastAsia="zh-CN"/>
        </w:rPr>
        <w:t>承担厅系统绩效评估的事务性工作。</w:t>
      </w:r>
      <w:r>
        <w:rPr>
          <w:rFonts w:hint="default" w:ascii="Times New Roman" w:hAnsi="Times New Roman" w:cs="Times New Roman" w:eastAsiaTheme="minorEastAsia"/>
          <w:color w:val="auto"/>
          <w:sz w:val="32"/>
          <w:szCs w:val="32"/>
          <w:highlight w:val="none"/>
        </w:rPr>
        <w:t>承担省科学技术厅交办的其他工作</w:t>
      </w:r>
      <w:r>
        <w:rPr>
          <w:rFonts w:hint="default" w:ascii="Times New Roman" w:hAnsi="Times New Roman" w:cs="Times New Roman" w:eastAsiaTheme="minorEastAsia"/>
          <w:color w:val="auto"/>
          <w:sz w:val="32"/>
          <w:szCs w:val="32"/>
          <w:highlight w:val="none"/>
          <w:lang w:eastAsia="zh-CN"/>
        </w:rPr>
        <w:t>。</w:t>
      </w:r>
    </w:p>
    <w:p>
      <w:pPr>
        <w:widowControl/>
        <w:spacing w:line="600" w:lineRule="exact"/>
        <w:ind w:firstLine="640" w:firstLineChars="200"/>
        <w:rPr>
          <w:rFonts w:hint="default" w:ascii="Times New Roman" w:hAnsi="Times New Roman" w:eastAsia="黑体" w:cs="Times New Roman"/>
          <w:bCs/>
          <w:color w:val="auto"/>
          <w:kern w:val="0"/>
          <w:sz w:val="32"/>
          <w:szCs w:val="32"/>
        </w:rPr>
      </w:pPr>
      <w:r>
        <w:rPr>
          <w:rFonts w:hint="default" w:ascii="Times New Roman" w:hAnsi="Times New Roman" w:eastAsia="黑体" w:cs="Times New Roman"/>
          <w:bCs/>
          <w:color w:val="auto"/>
          <w:kern w:val="0"/>
          <w:sz w:val="32"/>
          <w:szCs w:val="32"/>
        </w:rPr>
        <w:t>二、机构设置及决算单位构成</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cs="Times New Roman" w:eastAsiaTheme="minorEastAsia"/>
          <w:color w:val="auto"/>
          <w:sz w:val="32"/>
          <w:szCs w:val="32"/>
          <w:highlight w:val="none"/>
        </w:rPr>
      </w:pPr>
      <w:r>
        <w:rPr>
          <w:rFonts w:hint="default" w:ascii="Times New Roman" w:hAnsi="Times New Roman" w:cs="Times New Roman" w:eastAsiaTheme="minorEastAsia"/>
          <w:color w:val="auto"/>
          <w:sz w:val="32"/>
          <w:szCs w:val="32"/>
          <w:highlight w:val="none"/>
        </w:rPr>
        <w:t>（一）内设机构设置</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cs="Times New Roman" w:eastAsiaTheme="minorEastAsia"/>
          <w:color w:val="auto"/>
          <w:sz w:val="32"/>
          <w:szCs w:val="32"/>
          <w:highlight w:val="none"/>
          <w:lang w:val="en-US" w:eastAsia="zh-CN"/>
        </w:rPr>
      </w:pPr>
      <w:r>
        <w:rPr>
          <w:rFonts w:hint="default" w:ascii="Times New Roman" w:hAnsi="Times New Roman" w:cs="Times New Roman" w:eastAsiaTheme="minorEastAsia"/>
          <w:color w:val="auto"/>
          <w:sz w:val="32"/>
          <w:szCs w:val="32"/>
          <w:highlight w:val="none"/>
        </w:rPr>
        <w:t>湖南省国际人才智力交流协作中心内设机构包括：</w:t>
      </w:r>
      <w:r>
        <w:rPr>
          <w:rFonts w:hint="default" w:ascii="Times New Roman" w:hAnsi="Times New Roman" w:cs="Times New Roman" w:eastAsiaTheme="minorEastAsia"/>
          <w:color w:val="auto"/>
          <w:sz w:val="32"/>
          <w:szCs w:val="32"/>
          <w:highlight w:val="none"/>
          <w:lang w:val="en-US" w:eastAsia="zh-CN"/>
        </w:rPr>
        <w:t>综合部、人才评价服务部、院士专家服务部</w:t>
      </w:r>
      <w:r>
        <w:rPr>
          <w:rFonts w:hint="default" w:ascii="Times New Roman" w:hAnsi="Times New Roman" w:cs="Times New Roman"/>
          <w:color w:val="auto"/>
          <w:sz w:val="32"/>
          <w:szCs w:val="32"/>
          <w:highlight w:val="none"/>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cs="Times New Roman" w:eastAsiaTheme="minorEastAsia"/>
          <w:color w:val="auto"/>
          <w:sz w:val="32"/>
          <w:szCs w:val="32"/>
          <w:highlight w:val="none"/>
        </w:rPr>
      </w:pPr>
      <w:r>
        <w:rPr>
          <w:rFonts w:hint="default" w:ascii="Times New Roman" w:hAnsi="Times New Roman" w:cs="Times New Roman" w:eastAsiaTheme="minorEastAsia"/>
          <w:color w:val="auto"/>
          <w:sz w:val="32"/>
          <w:szCs w:val="32"/>
          <w:highlight w:val="none"/>
        </w:rPr>
        <w:t>决算单位构成</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color w:val="auto"/>
          <w:sz w:val="28"/>
          <w:szCs w:val="32"/>
        </w:rPr>
      </w:pPr>
      <w:r>
        <w:rPr>
          <w:rFonts w:hint="default" w:ascii="Times New Roman" w:hAnsi="Times New Roman" w:cs="Times New Roman" w:eastAsiaTheme="minorEastAsia"/>
          <w:color w:val="auto"/>
          <w:sz w:val="32"/>
          <w:szCs w:val="32"/>
          <w:highlight w:val="none"/>
        </w:rPr>
        <w:t>湖南省国际人才智力交流协作中心2021年部门决算汇总公开单位构成包括：湖南省国际人才智力交流协作中心单位本级</w:t>
      </w:r>
      <w:r>
        <w:rPr>
          <w:rFonts w:hint="eastAsia" w:ascii="Times New Roman" w:hAnsi="Times New Roman" w:cs="Times New Roman"/>
          <w:color w:val="auto"/>
          <w:sz w:val="32"/>
          <w:szCs w:val="32"/>
          <w:highlight w:val="none"/>
          <w:lang w:eastAsia="zh-CN"/>
        </w:rPr>
        <w:t>，</w:t>
      </w:r>
      <w:r>
        <w:rPr>
          <w:rFonts w:hint="eastAsia" w:ascii="Times New Roman" w:hAnsi="Times New Roman" w:cs="Times New Roman"/>
          <w:color w:val="auto"/>
          <w:sz w:val="32"/>
          <w:szCs w:val="32"/>
          <w:highlight w:val="none"/>
          <w:lang w:val="en-US" w:eastAsia="zh-CN"/>
        </w:rPr>
        <w:t>本中心无下属单位</w:t>
      </w:r>
      <w:r>
        <w:rPr>
          <w:rFonts w:hint="default" w:ascii="Times New Roman" w:hAnsi="Times New Roman" w:cs="Times New Roman" w:eastAsiaTheme="minorEastAsia"/>
          <w:color w:val="auto"/>
          <w:sz w:val="32"/>
          <w:szCs w:val="32"/>
          <w:highlight w:val="none"/>
          <w:lang w:eastAsia="zh-CN"/>
        </w:rPr>
        <w:t>。</w:t>
      </w:r>
    </w:p>
    <w:p>
      <w:pPr>
        <w:jc w:val="center"/>
        <w:rPr>
          <w:rFonts w:hint="default" w:ascii="Times New Roman" w:hAnsi="Times New Roman" w:eastAsia="黑体" w:cs="Times New Roman"/>
          <w:color w:val="auto"/>
          <w:sz w:val="28"/>
          <w:szCs w:val="28"/>
        </w:rPr>
      </w:pPr>
    </w:p>
    <w:p>
      <w:pPr>
        <w:jc w:val="center"/>
        <w:rPr>
          <w:rFonts w:hint="default" w:ascii="Times New Roman" w:hAnsi="Times New Roman" w:eastAsia="黑体" w:cs="Times New Roman"/>
          <w:color w:val="auto"/>
          <w:sz w:val="28"/>
          <w:szCs w:val="28"/>
        </w:rPr>
      </w:pPr>
    </w:p>
    <w:p>
      <w:pPr>
        <w:jc w:val="center"/>
        <w:rPr>
          <w:rFonts w:hint="default" w:ascii="Times New Roman" w:hAnsi="Times New Roman" w:eastAsia="黑体" w:cs="Times New Roman"/>
          <w:color w:val="auto"/>
          <w:sz w:val="28"/>
          <w:szCs w:val="28"/>
        </w:rPr>
      </w:pPr>
    </w:p>
    <w:p>
      <w:pPr>
        <w:jc w:val="center"/>
        <w:rPr>
          <w:rFonts w:hint="default" w:ascii="Times New Roman" w:hAnsi="Times New Roman" w:eastAsia="黑体" w:cs="Times New Roman"/>
          <w:color w:val="auto"/>
          <w:sz w:val="28"/>
          <w:szCs w:val="28"/>
        </w:rPr>
      </w:pPr>
    </w:p>
    <w:p>
      <w:pPr>
        <w:jc w:val="center"/>
        <w:rPr>
          <w:rFonts w:hint="default" w:ascii="Times New Roman" w:hAnsi="Times New Roman" w:eastAsia="黑体" w:cs="Times New Roman"/>
          <w:color w:val="auto"/>
          <w:sz w:val="28"/>
          <w:szCs w:val="28"/>
        </w:rPr>
      </w:pPr>
    </w:p>
    <w:p>
      <w:pPr>
        <w:jc w:val="center"/>
        <w:rPr>
          <w:rFonts w:hint="default" w:ascii="Times New Roman" w:hAnsi="Times New Roman" w:eastAsia="黑体" w:cs="Times New Roman"/>
          <w:color w:val="auto"/>
          <w:sz w:val="28"/>
          <w:szCs w:val="28"/>
        </w:rPr>
      </w:pPr>
    </w:p>
    <w:p>
      <w:pPr>
        <w:jc w:val="center"/>
        <w:rPr>
          <w:rFonts w:hint="default" w:ascii="Times New Roman" w:hAnsi="Times New Roman" w:eastAsia="黑体" w:cs="Times New Roman"/>
          <w:color w:val="auto"/>
          <w:sz w:val="28"/>
          <w:szCs w:val="28"/>
        </w:rPr>
      </w:pPr>
    </w:p>
    <w:p>
      <w:pPr>
        <w:jc w:val="center"/>
        <w:rPr>
          <w:rFonts w:hint="default" w:ascii="Times New Roman" w:hAnsi="Times New Roman" w:eastAsia="黑体" w:cs="Times New Roman"/>
          <w:color w:val="auto"/>
          <w:sz w:val="28"/>
          <w:szCs w:val="28"/>
        </w:rPr>
      </w:pPr>
    </w:p>
    <w:p>
      <w:pPr>
        <w:jc w:val="center"/>
        <w:rPr>
          <w:rFonts w:hint="default" w:ascii="Times New Roman" w:hAnsi="Times New Roman" w:eastAsia="黑体" w:cs="Times New Roman"/>
          <w:color w:val="auto"/>
          <w:sz w:val="28"/>
          <w:szCs w:val="28"/>
        </w:rPr>
      </w:pPr>
    </w:p>
    <w:p>
      <w:pPr>
        <w:jc w:val="center"/>
        <w:rPr>
          <w:rFonts w:hint="default" w:ascii="Times New Roman" w:hAnsi="Times New Roman" w:eastAsia="黑体" w:cs="Times New Roman"/>
          <w:color w:val="auto"/>
          <w:sz w:val="28"/>
          <w:szCs w:val="28"/>
        </w:rPr>
      </w:pPr>
    </w:p>
    <w:p>
      <w:pPr>
        <w:jc w:val="both"/>
        <w:rPr>
          <w:rFonts w:hint="default" w:ascii="Times New Roman" w:hAnsi="Times New Roman" w:cs="Times New Roman"/>
          <w:color w:val="auto"/>
          <w:sz w:val="72"/>
          <w:szCs w:val="72"/>
        </w:rPr>
      </w:pPr>
    </w:p>
    <w:p>
      <w:pPr>
        <w:jc w:val="center"/>
        <w:rPr>
          <w:rFonts w:hint="default" w:ascii="Times New Roman" w:hAnsi="Times New Roman" w:cs="Times New Roman"/>
          <w:color w:val="auto"/>
          <w:sz w:val="72"/>
          <w:szCs w:val="72"/>
        </w:rPr>
      </w:pPr>
    </w:p>
    <w:p>
      <w:pPr>
        <w:jc w:val="center"/>
        <w:rPr>
          <w:rFonts w:hint="default" w:ascii="Times New Roman" w:hAnsi="Times New Roman" w:eastAsia="黑体" w:cs="Times New Roman"/>
          <w:color w:val="auto"/>
          <w:sz w:val="84"/>
          <w:szCs w:val="84"/>
        </w:rPr>
      </w:pPr>
      <w:r>
        <w:rPr>
          <w:rFonts w:hint="default" w:ascii="Times New Roman" w:hAnsi="Times New Roman" w:eastAsia="黑体" w:cs="Times New Roman"/>
          <w:color w:val="auto"/>
          <w:sz w:val="84"/>
          <w:szCs w:val="84"/>
        </w:rPr>
        <w:t>第二部分</w:t>
      </w:r>
    </w:p>
    <w:p>
      <w:pPr>
        <w:jc w:val="center"/>
        <w:rPr>
          <w:rFonts w:hint="default" w:ascii="Times New Roman" w:hAnsi="Times New Roman" w:eastAsia="黑体" w:cs="Times New Roman"/>
          <w:color w:val="auto"/>
          <w:sz w:val="84"/>
          <w:szCs w:val="84"/>
        </w:rPr>
      </w:pPr>
    </w:p>
    <w:p>
      <w:pPr>
        <w:jc w:val="center"/>
        <w:rPr>
          <w:rFonts w:hint="default" w:ascii="Times New Roman" w:hAnsi="Times New Roman" w:eastAsia="黑体" w:cs="Times New Roman"/>
          <w:color w:val="auto"/>
          <w:sz w:val="84"/>
          <w:szCs w:val="84"/>
        </w:rPr>
      </w:pPr>
      <w:r>
        <w:rPr>
          <w:rFonts w:hint="default" w:ascii="Times New Roman" w:hAnsi="Times New Roman" w:eastAsia="黑体" w:cs="Times New Roman"/>
          <w:color w:val="auto"/>
          <w:sz w:val="84"/>
          <w:szCs w:val="84"/>
        </w:rPr>
        <w:t>部门决算表</w:t>
      </w:r>
    </w:p>
    <w:p>
      <w:pPr>
        <w:jc w:val="center"/>
        <w:rPr>
          <w:rFonts w:hint="default" w:ascii="Times New Roman" w:hAnsi="Times New Roman" w:cs="Times New Roman"/>
          <w:color w:val="auto"/>
          <w:sz w:val="72"/>
          <w:szCs w:val="72"/>
        </w:rPr>
      </w:pPr>
    </w:p>
    <w:p>
      <w:pPr>
        <w:jc w:val="center"/>
        <w:rPr>
          <w:rFonts w:hint="default" w:ascii="Times New Roman" w:hAnsi="Times New Roman" w:cs="Times New Roman"/>
          <w:color w:val="auto"/>
          <w:sz w:val="72"/>
          <w:szCs w:val="72"/>
        </w:rPr>
      </w:pPr>
    </w:p>
    <w:p>
      <w:pPr>
        <w:jc w:val="center"/>
        <w:rPr>
          <w:rFonts w:hint="default" w:ascii="Times New Roman" w:hAnsi="Times New Roman" w:cs="Times New Roman"/>
          <w:color w:val="auto"/>
          <w:sz w:val="72"/>
          <w:szCs w:val="72"/>
        </w:rPr>
      </w:pPr>
    </w:p>
    <w:p>
      <w:pPr>
        <w:jc w:val="center"/>
        <w:rPr>
          <w:rFonts w:hint="default" w:ascii="Times New Roman" w:hAnsi="Times New Roman" w:cs="Times New Roman"/>
          <w:color w:val="auto"/>
          <w:sz w:val="72"/>
          <w:szCs w:val="72"/>
        </w:rPr>
      </w:pPr>
    </w:p>
    <w:p>
      <w:pPr>
        <w:jc w:val="center"/>
        <w:rPr>
          <w:rFonts w:hint="default" w:ascii="Times New Roman" w:hAnsi="Times New Roman" w:cs="Times New Roman"/>
          <w:color w:val="auto"/>
          <w:sz w:val="72"/>
          <w:szCs w:val="72"/>
        </w:rPr>
      </w:pPr>
    </w:p>
    <w:p>
      <w:pPr>
        <w:jc w:val="left"/>
        <w:rPr>
          <w:rFonts w:hint="default" w:ascii="Times New Roman" w:hAnsi="Times New Roman" w:cs="Times New Roman"/>
          <w:color w:val="auto"/>
          <w:sz w:val="32"/>
          <w:szCs w:val="32"/>
        </w:rPr>
      </w:pPr>
    </w:p>
    <w:p>
      <w:pPr>
        <w:jc w:val="left"/>
        <w:rPr>
          <w:rFonts w:hint="default" w:ascii="Times New Roman" w:hAnsi="Times New Roman" w:cs="Times New Roman"/>
          <w:color w:val="auto"/>
          <w:sz w:val="32"/>
          <w:szCs w:val="32"/>
        </w:rPr>
        <w:sectPr>
          <w:pgSz w:w="11906" w:h="16838"/>
          <w:pgMar w:top="1440" w:right="1080" w:bottom="1440" w:left="1080" w:header="851" w:footer="992" w:gutter="0"/>
          <w:cols w:space="425" w:num="1"/>
          <w:docGrid w:type="lines" w:linePitch="312" w:charSpace="0"/>
        </w:sectPr>
      </w:pPr>
    </w:p>
    <w:tbl>
      <w:tblPr>
        <w:tblStyle w:val="7"/>
        <w:tblW w:w="14081" w:type="dxa"/>
        <w:tblInd w:w="93" w:type="dxa"/>
        <w:tblLayout w:type="fixed"/>
        <w:tblCellMar>
          <w:top w:w="0" w:type="dxa"/>
          <w:left w:w="108" w:type="dxa"/>
          <w:bottom w:w="0" w:type="dxa"/>
          <w:right w:w="108" w:type="dxa"/>
        </w:tblCellMar>
      </w:tblPr>
      <w:tblGrid>
        <w:gridCol w:w="3972"/>
        <w:gridCol w:w="825"/>
        <w:gridCol w:w="409"/>
        <w:gridCol w:w="697"/>
        <w:gridCol w:w="232"/>
        <w:gridCol w:w="3942"/>
        <w:gridCol w:w="915"/>
        <w:gridCol w:w="916"/>
        <w:gridCol w:w="657"/>
        <w:gridCol w:w="1516"/>
      </w:tblGrid>
      <w:tr>
        <w:tblPrEx>
          <w:tblCellMar>
            <w:top w:w="0" w:type="dxa"/>
            <w:left w:w="108" w:type="dxa"/>
            <w:bottom w:w="0" w:type="dxa"/>
            <w:right w:w="108" w:type="dxa"/>
          </w:tblCellMar>
        </w:tblPrEx>
        <w:trPr>
          <w:trHeight w:val="360" w:hRule="atLeast"/>
        </w:trPr>
        <w:tc>
          <w:tcPr>
            <w:tcW w:w="14081" w:type="dxa"/>
            <w:gridSpan w:val="10"/>
            <w:tcBorders>
              <w:top w:val="nil"/>
              <w:left w:val="nil"/>
              <w:bottom w:val="nil"/>
              <w:right w:val="nil"/>
            </w:tcBorders>
            <w:shd w:val="clear" w:color="auto" w:fill="auto"/>
            <w:vAlign w:val="center"/>
          </w:tcPr>
          <w:p>
            <w:pPr>
              <w:widowControl/>
              <w:jc w:val="center"/>
              <w:rPr>
                <w:rFonts w:hint="default" w:ascii="Times New Roman" w:hAnsi="Times New Roman" w:eastAsia="宋体" w:cs="Times New Roman"/>
                <w:color w:val="auto"/>
                <w:kern w:val="0"/>
                <w:sz w:val="32"/>
                <w:szCs w:val="32"/>
              </w:rPr>
            </w:pPr>
            <w:r>
              <w:rPr>
                <w:rFonts w:hint="default" w:ascii="Times New Roman" w:hAnsi="Times New Roman" w:eastAsia="方正小标宋_GBK" w:cs="Times New Roman"/>
                <w:color w:val="auto"/>
                <w:kern w:val="0"/>
                <w:sz w:val="32"/>
                <w:szCs w:val="32"/>
              </w:rPr>
              <w:t>收入支出决算总表</w:t>
            </w:r>
          </w:p>
        </w:tc>
      </w:tr>
      <w:tr>
        <w:tblPrEx>
          <w:tblCellMar>
            <w:top w:w="0" w:type="dxa"/>
            <w:left w:w="108" w:type="dxa"/>
            <w:bottom w:w="0" w:type="dxa"/>
            <w:right w:w="108" w:type="dxa"/>
          </w:tblCellMar>
        </w:tblPrEx>
        <w:trPr>
          <w:trHeight w:val="199" w:hRule="atLeast"/>
        </w:trPr>
        <w:tc>
          <w:tcPr>
            <w:tcW w:w="5206" w:type="dxa"/>
            <w:gridSpan w:val="3"/>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697" w:type="dxa"/>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32" w:type="dxa"/>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5773" w:type="dxa"/>
            <w:gridSpan w:val="3"/>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657" w:type="dxa"/>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516" w:type="dxa"/>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公开01表</w:t>
            </w:r>
          </w:p>
        </w:tc>
      </w:tr>
      <w:tr>
        <w:tblPrEx>
          <w:tblCellMar>
            <w:top w:w="0" w:type="dxa"/>
            <w:left w:w="108" w:type="dxa"/>
            <w:bottom w:w="0" w:type="dxa"/>
            <w:right w:w="108" w:type="dxa"/>
          </w:tblCellMar>
        </w:tblPrEx>
        <w:trPr>
          <w:trHeight w:val="300" w:hRule="atLeast"/>
        </w:trPr>
        <w:tc>
          <w:tcPr>
            <w:tcW w:w="5206" w:type="dxa"/>
            <w:gridSpan w:val="3"/>
            <w:tcBorders>
              <w:top w:val="nil"/>
              <w:left w:val="nil"/>
              <w:bottom w:val="nil"/>
              <w:right w:val="nil"/>
            </w:tcBorders>
            <w:shd w:val="clear" w:color="000000" w:fill="FFFFFF"/>
            <w:vAlign w:val="center"/>
          </w:tcPr>
          <w:p>
            <w:pPr>
              <w:widowControl/>
              <w:jc w:val="left"/>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部门：</w:t>
            </w:r>
            <w:r>
              <w:rPr>
                <w:rFonts w:hint="default" w:ascii="Times New Roman" w:hAnsi="Times New Roman" w:eastAsia="宋体" w:cs="Times New Roman"/>
                <w:color w:val="auto"/>
                <w:kern w:val="0"/>
                <w:sz w:val="20"/>
                <w:szCs w:val="20"/>
                <w:lang w:eastAsia="zh-CN"/>
              </w:rPr>
              <w:t>湖南省国际人才智力交流协作中心</w:t>
            </w:r>
            <w:r>
              <w:rPr>
                <w:rFonts w:hint="default" w:ascii="Times New Roman" w:hAnsi="Times New Roman" w:eastAsia="宋体" w:cs="Times New Roman"/>
                <w:color w:val="auto"/>
                <w:kern w:val="0"/>
                <w:sz w:val="20"/>
                <w:szCs w:val="20"/>
              </w:rPr>
              <w:t xml:space="preserve"> </w:t>
            </w:r>
          </w:p>
        </w:tc>
        <w:tc>
          <w:tcPr>
            <w:tcW w:w="697" w:type="dxa"/>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32" w:type="dxa"/>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5773" w:type="dxa"/>
            <w:gridSpan w:val="3"/>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657" w:type="dxa"/>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516" w:type="dxa"/>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单位：万元</w:t>
            </w:r>
          </w:p>
        </w:tc>
      </w:tr>
      <w:tr>
        <w:tblPrEx>
          <w:tblCellMar>
            <w:top w:w="0" w:type="dxa"/>
            <w:left w:w="108" w:type="dxa"/>
            <w:bottom w:w="0" w:type="dxa"/>
            <w:right w:w="108" w:type="dxa"/>
          </w:tblCellMar>
        </w:tblPrEx>
        <w:trPr>
          <w:trHeight w:val="340" w:hRule="atLeast"/>
        </w:trPr>
        <w:tc>
          <w:tcPr>
            <w:tcW w:w="6135" w:type="dxa"/>
            <w:gridSpan w:val="5"/>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收入</w:t>
            </w:r>
          </w:p>
        </w:tc>
        <w:tc>
          <w:tcPr>
            <w:tcW w:w="7946" w:type="dxa"/>
            <w:gridSpan w:val="5"/>
            <w:tcBorders>
              <w:top w:val="single" w:color="auto" w:sz="4" w:space="0"/>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支出</w:t>
            </w: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项    目</w:t>
            </w: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行次</w:t>
            </w:r>
          </w:p>
        </w:tc>
        <w:tc>
          <w:tcPr>
            <w:tcW w:w="1338"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决算数</w:t>
            </w:r>
          </w:p>
        </w:tc>
        <w:tc>
          <w:tcPr>
            <w:tcW w:w="3942"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项    目</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行次</w:t>
            </w:r>
          </w:p>
        </w:tc>
        <w:tc>
          <w:tcPr>
            <w:tcW w:w="3089"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决算数</w:t>
            </w: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栏    次</w:t>
            </w: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38"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1</w:t>
            </w:r>
          </w:p>
        </w:tc>
        <w:tc>
          <w:tcPr>
            <w:tcW w:w="3942"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栏    次</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089"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2</w:t>
            </w: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一、一般公共预算财政拨款收入</w:t>
            </w: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1</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253</w:t>
            </w:r>
            <w:r>
              <w:rPr>
                <w:rFonts w:hint="default" w:ascii="Times New Roman" w:hAnsi="Times New Roman" w:eastAsia="宋体" w:cs="Times New Roman"/>
                <w:color w:val="auto"/>
                <w:kern w:val="0"/>
                <w:sz w:val="24"/>
                <w:szCs w:val="24"/>
                <w:lang w:val="en-US" w:eastAsia="zh-CN"/>
              </w:rPr>
              <w:t>.</w:t>
            </w:r>
            <w:r>
              <w:rPr>
                <w:rFonts w:hint="default" w:ascii="Times New Roman" w:hAnsi="Times New Roman" w:eastAsia="宋体" w:cs="Times New Roman"/>
                <w:color w:val="auto"/>
                <w:kern w:val="0"/>
                <w:sz w:val="24"/>
                <w:szCs w:val="24"/>
              </w:rPr>
              <w:t>14　</w:t>
            </w:r>
          </w:p>
        </w:tc>
        <w:tc>
          <w:tcPr>
            <w:tcW w:w="3942"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一、一般公共服务支出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14</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二、政府性基金预算财政拨款收入</w:t>
            </w: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2</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942"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二、外交支出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15</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三、国有资本经营预算财政拨款收入</w:t>
            </w: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3</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942"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三、国防支出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16</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四、上级补助收入</w:t>
            </w: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4</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942"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四、公共安全支出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17</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90" w:hRule="atLeast"/>
        </w:trPr>
        <w:tc>
          <w:tcPr>
            <w:tcW w:w="3972"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五、事业收入</w:t>
            </w: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5</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942"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五、教育支出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18</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六、经营收入</w:t>
            </w: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6</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942"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六、科学技术支出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19</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242.58</w:t>
            </w: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七、附属单位上缴收入</w:t>
            </w: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7</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七、文化旅游体育与传媒支出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20</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八、其他收入</w:t>
            </w: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8</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八、社会保障和就业支出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21</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kern w:val="0"/>
                <w:sz w:val="24"/>
                <w:szCs w:val="24"/>
                <w:lang w:val="en-US" w:eastAsia="zh-CN"/>
              </w:rPr>
              <w:t>14.04</w:t>
            </w: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9</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九、卫生健康支出　</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22</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10</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十、节能环保支出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23</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11</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十一、城乡社区支出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24</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12</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十二、农林水支出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25</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13</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十三、交通运输支出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26</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14</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十四、资源勘探工业信息等支出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27</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15</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十五、商业服务业等支出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28</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520" w:hRule="atLeast"/>
        </w:trPr>
        <w:tc>
          <w:tcPr>
            <w:tcW w:w="3972"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16</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十六、金融支出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29</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340" w:hRule="atLeast"/>
        </w:trPr>
        <w:tc>
          <w:tcPr>
            <w:tcW w:w="6135" w:type="dxa"/>
            <w:gridSpan w:val="5"/>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收入</w:t>
            </w:r>
          </w:p>
        </w:tc>
        <w:tc>
          <w:tcPr>
            <w:tcW w:w="79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支出</w:t>
            </w:r>
          </w:p>
        </w:tc>
      </w:tr>
      <w:tr>
        <w:tblPrEx>
          <w:tblCellMar>
            <w:top w:w="0" w:type="dxa"/>
            <w:left w:w="108" w:type="dxa"/>
            <w:bottom w:w="0" w:type="dxa"/>
            <w:right w:w="108" w:type="dxa"/>
          </w:tblCellMar>
        </w:tblPrEx>
        <w:trPr>
          <w:trHeight w:val="340" w:hRule="atLeast"/>
        </w:trPr>
        <w:tc>
          <w:tcPr>
            <w:tcW w:w="3972"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项    目</w:t>
            </w:r>
          </w:p>
        </w:tc>
        <w:tc>
          <w:tcPr>
            <w:tcW w:w="825" w:type="dxa"/>
            <w:tcBorders>
              <w:top w:val="single" w:color="auto" w:sz="4" w:space="0"/>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行次</w:t>
            </w:r>
          </w:p>
        </w:tc>
        <w:tc>
          <w:tcPr>
            <w:tcW w:w="1338"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决算数</w:t>
            </w:r>
          </w:p>
        </w:tc>
        <w:tc>
          <w:tcPr>
            <w:tcW w:w="3942"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项    目</w:t>
            </w:r>
          </w:p>
        </w:tc>
        <w:tc>
          <w:tcPr>
            <w:tcW w:w="915" w:type="dxa"/>
            <w:tcBorders>
              <w:top w:val="single" w:color="auto" w:sz="4" w:space="0"/>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行次</w:t>
            </w:r>
          </w:p>
        </w:tc>
        <w:tc>
          <w:tcPr>
            <w:tcW w:w="3089"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决算数</w:t>
            </w: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栏    次</w:t>
            </w: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　</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1</w:t>
            </w: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栏    次</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　</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2</w:t>
            </w: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17</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十七、援助其他地区支出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30</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18</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十八、自然资源海洋气象等支出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31</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1</w:t>
            </w:r>
            <w:r>
              <w:rPr>
                <w:rFonts w:hint="default" w:ascii="Times New Roman" w:hAnsi="Times New Roman" w:eastAsia="宋体" w:cs="Times New Roman"/>
                <w:color w:val="auto"/>
                <w:kern w:val="0"/>
                <w:sz w:val="24"/>
                <w:szCs w:val="24"/>
              </w:rPr>
              <w:t>9</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十九、住房保障支出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32</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kern w:val="0"/>
                <w:sz w:val="24"/>
                <w:szCs w:val="24"/>
                <w:lang w:val="en-US" w:eastAsia="zh-CN"/>
              </w:rPr>
              <w:t>22.62</w:t>
            </w: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20</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二十、粮油物资储备支出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33</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21</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二十一、国有资本经营预算支出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34</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22</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二十二、灾害防治及应急管理支出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35</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23</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二十三、其他支出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36</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24</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二十四、债务还本支出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37</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25</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二十五、债务付息支出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38</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26</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二十六、抗疫特别国债安排的支出</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39</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kern w:val="0"/>
                <w:sz w:val="24"/>
                <w:szCs w:val="24"/>
              </w:rPr>
              <w:t>本年收入合计</w:t>
            </w: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27</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253.14</w:t>
            </w:r>
            <w:r>
              <w:rPr>
                <w:rFonts w:hint="default" w:ascii="Times New Roman" w:hAnsi="Times New Roman" w:eastAsia="宋体" w:cs="Times New Roman"/>
                <w:color w:val="auto"/>
                <w:kern w:val="0"/>
                <w:sz w:val="24"/>
                <w:szCs w:val="24"/>
              </w:rPr>
              <w:t>　</w:t>
            </w: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kern w:val="0"/>
                <w:sz w:val="24"/>
                <w:szCs w:val="24"/>
              </w:rPr>
              <w:t>本年支出合计</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40</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kern w:val="0"/>
                <w:sz w:val="24"/>
                <w:szCs w:val="24"/>
                <w:lang w:val="en-US" w:eastAsia="zh-CN"/>
              </w:rPr>
              <w:t>279.24</w:t>
            </w: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xml:space="preserve">         使用非财政拨款结余</w:t>
            </w: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28</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xml:space="preserve">                结余分配</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41</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xml:space="preserve">         年初结转和结余</w:t>
            </w: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29</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50.00</w:t>
            </w:r>
            <w:r>
              <w:rPr>
                <w:rFonts w:hint="default" w:ascii="Times New Roman" w:hAnsi="Times New Roman" w:eastAsia="宋体" w:cs="Times New Roman"/>
                <w:color w:val="auto"/>
                <w:kern w:val="0"/>
                <w:sz w:val="24"/>
                <w:szCs w:val="24"/>
              </w:rPr>
              <w:t>　</w:t>
            </w:r>
          </w:p>
        </w:tc>
        <w:tc>
          <w:tcPr>
            <w:tcW w:w="39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xml:space="preserve">                年末结转和结余</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42</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kern w:val="0"/>
                <w:sz w:val="24"/>
                <w:szCs w:val="24"/>
                <w:lang w:val="en-US" w:eastAsia="zh-CN"/>
              </w:rPr>
              <w:t>23.90</w:t>
            </w:r>
          </w:p>
        </w:tc>
      </w:tr>
      <w:tr>
        <w:tblPrEx>
          <w:tblCellMar>
            <w:top w:w="0" w:type="dxa"/>
            <w:left w:w="108" w:type="dxa"/>
            <w:bottom w:w="0" w:type="dxa"/>
            <w:right w:w="108" w:type="dxa"/>
          </w:tblCellMar>
        </w:tblPrEx>
        <w:trPr>
          <w:trHeight w:val="340" w:hRule="atLeast"/>
        </w:trPr>
        <w:tc>
          <w:tcPr>
            <w:tcW w:w="3972" w:type="dxa"/>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kern w:val="0"/>
                <w:sz w:val="24"/>
                <w:szCs w:val="24"/>
              </w:rPr>
              <w:t>总计</w:t>
            </w: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30</w:t>
            </w:r>
          </w:p>
        </w:tc>
        <w:tc>
          <w:tcPr>
            <w:tcW w:w="1338"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303.14</w:t>
            </w:r>
            <w:r>
              <w:rPr>
                <w:rFonts w:hint="default" w:ascii="Times New Roman" w:hAnsi="Times New Roman" w:eastAsia="宋体" w:cs="Times New Roman"/>
                <w:color w:val="auto"/>
                <w:kern w:val="0"/>
                <w:sz w:val="24"/>
                <w:szCs w:val="24"/>
              </w:rPr>
              <w:t>　</w:t>
            </w:r>
          </w:p>
        </w:tc>
        <w:tc>
          <w:tcPr>
            <w:tcW w:w="3942"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kern w:val="0"/>
                <w:sz w:val="24"/>
                <w:szCs w:val="24"/>
              </w:rPr>
              <w:t>总计</w:t>
            </w:r>
          </w:p>
        </w:tc>
        <w:tc>
          <w:tcPr>
            <w:tcW w:w="915" w:type="dxa"/>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43</w:t>
            </w:r>
          </w:p>
        </w:tc>
        <w:tc>
          <w:tcPr>
            <w:tcW w:w="3089"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right"/>
              <w:textAlignment w:val="auto"/>
              <w:rPr>
                <w:rFonts w:hint="default" w:ascii="Times New Roman" w:hAnsi="Times New Roman" w:eastAsia="宋体" w:cs="Times New Roman"/>
                <w:b w:val="0"/>
                <w:bCs w:val="0"/>
                <w:color w:val="auto"/>
                <w:kern w:val="0"/>
                <w:sz w:val="24"/>
                <w:szCs w:val="24"/>
              </w:rPr>
            </w:pPr>
            <w:r>
              <w:rPr>
                <w:rFonts w:hint="default" w:ascii="Times New Roman" w:hAnsi="Times New Roman" w:eastAsia="宋体" w:cs="Times New Roman"/>
                <w:b w:val="0"/>
                <w:bCs w:val="0"/>
                <w:color w:val="auto"/>
                <w:kern w:val="0"/>
                <w:sz w:val="24"/>
                <w:szCs w:val="24"/>
              </w:rPr>
              <w:t>　</w:t>
            </w:r>
            <w:r>
              <w:rPr>
                <w:rFonts w:hint="default" w:ascii="Times New Roman" w:hAnsi="Times New Roman" w:eastAsia="宋体" w:cs="Times New Roman"/>
                <w:b w:val="0"/>
                <w:bCs w:val="0"/>
                <w:color w:val="auto"/>
                <w:kern w:val="0"/>
                <w:sz w:val="24"/>
                <w:szCs w:val="24"/>
                <w:lang w:val="en-US" w:eastAsia="zh-CN"/>
              </w:rPr>
              <w:t>303.14</w:t>
            </w:r>
          </w:p>
        </w:tc>
      </w:tr>
      <w:tr>
        <w:tblPrEx>
          <w:tblCellMar>
            <w:top w:w="0" w:type="dxa"/>
            <w:left w:w="108" w:type="dxa"/>
            <w:bottom w:w="0" w:type="dxa"/>
            <w:right w:w="108" w:type="dxa"/>
          </w:tblCellMar>
        </w:tblPrEx>
        <w:trPr>
          <w:trHeight w:val="1020" w:hRule="atLeast"/>
        </w:trPr>
        <w:tc>
          <w:tcPr>
            <w:tcW w:w="14081" w:type="dxa"/>
            <w:gridSpan w:val="10"/>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ind w:left="480" w:hanging="480" w:hangingChars="200"/>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注：1.本表反映部门本年度的总收支和年末结转结余情况。</w:t>
            </w:r>
            <w:r>
              <w:rPr>
                <w:rFonts w:hint="default" w:ascii="Times New Roman" w:hAnsi="Times New Roman" w:eastAsia="宋体" w:cs="Times New Roman"/>
                <w:color w:val="auto"/>
                <w:kern w:val="0"/>
                <w:sz w:val="24"/>
                <w:szCs w:val="24"/>
              </w:rPr>
              <w:br w:type="textWrapping"/>
            </w:r>
            <w:r>
              <w:rPr>
                <w:rFonts w:hint="default" w:ascii="Times New Roman" w:hAnsi="Times New Roman" w:eastAsia="宋体" w:cs="Times New Roman"/>
                <w:color w:val="auto"/>
                <w:kern w:val="0"/>
                <w:sz w:val="24"/>
                <w:szCs w:val="24"/>
              </w:rPr>
              <w:t>2.本套报表金额单位转换时可能存在尾数误差。</w:t>
            </w:r>
          </w:p>
        </w:tc>
      </w:tr>
    </w:tbl>
    <w:p>
      <w:pPr>
        <w:jc w:val="center"/>
        <w:rPr>
          <w:rFonts w:hint="default" w:ascii="Times New Roman" w:hAnsi="Times New Roman" w:eastAsia="黑体" w:cs="Times New Roman"/>
          <w:color w:val="auto"/>
          <w:sz w:val="28"/>
          <w:szCs w:val="28"/>
        </w:rPr>
      </w:pPr>
    </w:p>
    <w:p>
      <w:pPr>
        <w:pStyle w:val="2"/>
        <w:rPr>
          <w:rFonts w:hint="default" w:ascii="Times New Roman" w:hAnsi="Times New Roman" w:cs="Times New Roman"/>
          <w:color w:val="auto"/>
        </w:rPr>
        <w:sectPr>
          <w:pgSz w:w="16838" w:h="11906" w:orient="landscape"/>
          <w:pgMar w:top="1797" w:right="1440" w:bottom="1797" w:left="1440" w:header="851" w:footer="992" w:gutter="0"/>
          <w:cols w:space="425" w:num="1"/>
          <w:docGrid w:type="linesAndChars" w:linePitch="312" w:charSpace="0"/>
        </w:sectPr>
      </w:pPr>
    </w:p>
    <w:tbl>
      <w:tblPr>
        <w:tblStyle w:val="7"/>
        <w:tblW w:w="15387" w:type="dxa"/>
        <w:tblInd w:w="0" w:type="dxa"/>
        <w:tblLayout w:type="fixed"/>
        <w:tblCellMar>
          <w:top w:w="0" w:type="dxa"/>
          <w:left w:w="0" w:type="dxa"/>
          <w:bottom w:w="0" w:type="dxa"/>
          <w:right w:w="0" w:type="dxa"/>
        </w:tblCellMar>
      </w:tblPr>
      <w:tblGrid>
        <w:gridCol w:w="315"/>
        <w:gridCol w:w="315"/>
        <w:gridCol w:w="537"/>
        <w:gridCol w:w="481"/>
        <w:gridCol w:w="2294"/>
        <w:gridCol w:w="150"/>
        <w:gridCol w:w="459"/>
        <w:gridCol w:w="996"/>
        <w:gridCol w:w="330"/>
        <w:gridCol w:w="384"/>
        <w:gridCol w:w="1026"/>
        <w:gridCol w:w="465"/>
        <w:gridCol w:w="384"/>
        <w:gridCol w:w="741"/>
        <w:gridCol w:w="720"/>
        <w:gridCol w:w="384"/>
        <w:gridCol w:w="396"/>
        <w:gridCol w:w="1035"/>
        <w:gridCol w:w="384"/>
        <w:gridCol w:w="291"/>
        <w:gridCol w:w="990"/>
        <w:gridCol w:w="384"/>
        <w:gridCol w:w="351"/>
        <w:gridCol w:w="1575"/>
      </w:tblGrid>
      <w:tr>
        <w:tblPrEx>
          <w:tblCellMar>
            <w:top w:w="0" w:type="dxa"/>
            <w:left w:w="0" w:type="dxa"/>
            <w:bottom w:w="0" w:type="dxa"/>
            <w:right w:w="0" w:type="dxa"/>
          </w:tblCellMar>
        </w:tblPrEx>
        <w:trPr>
          <w:trHeight w:val="435" w:hRule="atLeast"/>
        </w:trPr>
        <w:tc>
          <w:tcPr>
            <w:tcW w:w="15387" w:type="dxa"/>
            <w:gridSpan w:val="24"/>
            <w:tcBorders>
              <w:top w:val="nil"/>
              <w:left w:val="nil"/>
              <w:bottom w:val="nil"/>
              <w:right w:val="nil"/>
            </w:tcBorders>
            <w:shd w:val="clear" w:color="auto" w:fill="auto"/>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32"/>
                <w:szCs w:val="32"/>
              </w:rPr>
            </w:pPr>
            <w:r>
              <w:rPr>
                <w:rFonts w:hint="default" w:ascii="Times New Roman" w:hAnsi="Times New Roman" w:eastAsia="方正小标宋_GBK" w:cs="Times New Roman"/>
                <w:color w:val="auto"/>
                <w:kern w:val="0"/>
                <w:sz w:val="32"/>
                <w:szCs w:val="32"/>
              </w:rPr>
              <w:t>收入决算表</w:t>
            </w:r>
          </w:p>
        </w:tc>
      </w:tr>
      <w:tr>
        <w:tblPrEx>
          <w:tblCellMar>
            <w:top w:w="0" w:type="dxa"/>
            <w:left w:w="0" w:type="dxa"/>
            <w:bottom w:w="0" w:type="dxa"/>
            <w:right w:w="0" w:type="dxa"/>
          </w:tblCellMar>
        </w:tblPrEx>
        <w:trPr>
          <w:trHeight w:val="285" w:hRule="atLeast"/>
        </w:trPr>
        <w:tc>
          <w:tcPr>
            <w:tcW w:w="315" w:type="dxa"/>
            <w:tcBorders>
              <w:top w:val="nil"/>
              <w:left w:val="nil"/>
              <w:bottom w:val="nil"/>
              <w:right w:val="nil"/>
            </w:tcBorders>
            <w:shd w:val="clear" w:color="000000" w:fill="FFFFFF"/>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24"/>
                <w:szCs w:val="24"/>
              </w:rPr>
            </w:pPr>
          </w:p>
        </w:tc>
        <w:tc>
          <w:tcPr>
            <w:tcW w:w="315" w:type="dxa"/>
            <w:tcBorders>
              <w:top w:val="nil"/>
              <w:left w:val="nil"/>
              <w:bottom w:val="nil"/>
              <w:right w:val="nil"/>
            </w:tcBorders>
            <w:shd w:val="clear" w:color="000000" w:fill="FFFFFF"/>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24"/>
                <w:szCs w:val="24"/>
              </w:rPr>
            </w:pPr>
          </w:p>
        </w:tc>
        <w:tc>
          <w:tcPr>
            <w:tcW w:w="3312" w:type="dxa"/>
            <w:gridSpan w:val="3"/>
            <w:tcBorders>
              <w:top w:val="nil"/>
              <w:left w:val="nil"/>
              <w:bottom w:val="nil"/>
              <w:right w:val="nil"/>
            </w:tcBorders>
            <w:shd w:val="clear" w:color="000000" w:fill="FFFFFF"/>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24"/>
                <w:szCs w:val="24"/>
              </w:rPr>
            </w:pPr>
          </w:p>
        </w:tc>
        <w:tc>
          <w:tcPr>
            <w:tcW w:w="1605" w:type="dxa"/>
            <w:gridSpan w:val="3"/>
            <w:tcBorders>
              <w:top w:val="nil"/>
              <w:left w:val="nil"/>
              <w:bottom w:val="nil"/>
              <w:right w:val="nil"/>
            </w:tcBorders>
            <w:shd w:val="clear" w:color="000000" w:fill="FFFFFF"/>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24"/>
                <w:szCs w:val="24"/>
              </w:rPr>
            </w:pPr>
          </w:p>
        </w:tc>
        <w:tc>
          <w:tcPr>
            <w:tcW w:w="1740" w:type="dxa"/>
            <w:gridSpan w:val="3"/>
            <w:tcBorders>
              <w:top w:val="nil"/>
              <w:left w:val="nil"/>
              <w:bottom w:val="nil"/>
              <w:right w:val="nil"/>
            </w:tcBorders>
            <w:shd w:val="clear" w:color="000000" w:fill="FFFFFF"/>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24"/>
                <w:szCs w:val="24"/>
              </w:rPr>
            </w:pPr>
          </w:p>
        </w:tc>
        <w:tc>
          <w:tcPr>
            <w:tcW w:w="1590" w:type="dxa"/>
            <w:gridSpan w:val="3"/>
            <w:tcBorders>
              <w:top w:val="nil"/>
              <w:left w:val="nil"/>
              <w:bottom w:val="nil"/>
              <w:right w:val="nil"/>
            </w:tcBorders>
            <w:shd w:val="clear" w:color="000000" w:fill="FFFFFF"/>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24"/>
                <w:szCs w:val="24"/>
              </w:rPr>
            </w:pPr>
          </w:p>
        </w:tc>
        <w:tc>
          <w:tcPr>
            <w:tcW w:w="1500" w:type="dxa"/>
            <w:gridSpan w:val="3"/>
            <w:tcBorders>
              <w:top w:val="nil"/>
              <w:left w:val="nil"/>
              <w:bottom w:val="nil"/>
              <w:right w:val="nil"/>
            </w:tcBorders>
            <w:shd w:val="clear" w:color="000000" w:fill="FFFFFF"/>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24"/>
                <w:szCs w:val="24"/>
              </w:rPr>
            </w:pPr>
          </w:p>
        </w:tc>
        <w:tc>
          <w:tcPr>
            <w:tcW w:w="1710" w:type="dxa"/>
            <w:gridSpan w:val="3"/>
            <w:tcBorders>
              <w:top w:val="nil"/>
              <w:left w:val="nil"/>
              <w:bottom w:val="nil"/>
              <w:right w:val="nil"/>
            </w:tcBorders>
            <w:shd w:val="clear" w:color="000000" w:fill="FFFFFF"/>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24"/>
                <w:szCs w:val="24"/>
              </w:rPr>
            </w:pPr>
          </w:p>
        </w:tc>
        <w:tc>
          <w:tcPr>
            <w:tcW w:w="1725" w:type="dxa"/>
            <w:gridSpan w:val="3"/>
            <w:tcBorders>
              <w:top w:val="nil"/>
              <w:left w:val="nil"/>
              <w:bottom w:val="nil"/>
              <w:right w:val="nil"/>
            </w:tcBorders>
            <w:shd w:val="clear" w:color="000000" w:fill="FFFFFF"/>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24"/>
                <w:szCs w:val="24"/>
              </w:rPr>
            </w:pPr>
          </w:p>
        </w:tc>
        <w:tc>
          <w:tcPr>
            <w:tcW w:w="1575" w:type="dxa"/>
            <w:tcBorders>
              <w:top w:val="nil"/>
              <w:left w:val="nil"/>
              <w:bottom w:val="nil"/>
              <w:right w:val="nil"/>
            </w:tcBorders>
            <w:shd w:val="clear" w:color="000000" w:fill="FFFFFF"/>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z w:val="20"/>
                <w:szCs w:val="20"/>
              </w:rPr>
              <w:t>公开02表</w:t>
            </w:r>
          </w:p>
        </w:tc>
      </w:tr>
      <w:tr>
        <w:tblPrEx>
          <w:tblCellMar>
            <w:top w:w="0" w:type="dxa"/>
            <w:left w:w="0" w:type="dxa"/>
            <w:bottom w:w="0" w:type="dxa"/>
            <w:right w:w="0" w:type="dxa"/>
          </w:tblCellMar>
        </w:tblPrEx>
        <w:trPr>
          <w:trHeight w:val="285" w:hRule="atLeast"/>
        </w:trPr>
        <w:tc>
          <w:tcPr>
            <w:tcW w:w="5547" w:type="dxa"/>
            <w:gridSpan w:val="8"/>
            <w:tcBorders>
              <w:top w:val="nil"/>
              <w:left w:val="nil"/>
              <w:bottom w:val="nil"/>
              <w:right w:val="nil"/>
            </w:tcBorders>
            <w:shd w:val="clear" w:color="000000" w:fill="FFFFFF"/>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0"/>
                <w:szCs w:val="20"/>
              </w:rPr>
              <w:t>部门：</w:t>
            </w:r>
            <w:r>
              <w:rPr>
                <w:rFonts w:hint="default" w:ascii="Times New Roman" w:hAnsi="Times New Roman" w:eastAsia="宋体" w:cs="Times New Roman"/>
                <w:color w:val="auto"/>
                <w:kern w:val="0"/>
                <w:sz w:val="20"/>
                <w:szCs w:val="20"/>
                <w:lang w:eastAsia="zh-CN"/>
              </w:rPr>
              <w:t>湖南省国际人才智力交流协作中心</w:t>
            </w:r>
          </w:p>
        </w:tc>
        <w:tc>
          <w:tcPr>
            <w:tcW w:w="1740" w:type="dxa"/>
            <w:gridSpan w:val="3"/>
            <w:tcBorders>
              <w:top w:val="nil"/>
              <w:left w:val="nil"/>
              <w:bottom w:val="nil"/>
              <w:right w:val="nil"/>
            </w:tcBorders>
            <w:shd w:val="clear" w:color="000000" w:fill="FFFFFF"/>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24"/>
                <w:szCs w:val="24"/>
              </w:rPr>
            </w:pPr>
          </w:p>
        </w:tc>
        <w:tc>
          <w:tcPr>
            <w:tcW w:w="1590" w:type="dxa"/>
            <w:gridSpan w:val="3"/>
            <w:tcBorders>
              <w:top w:val="nil"/>
              <w:left w:val="nil"/>
              <w:bottom w:val="nil"/>
              <w:right w:val="nil"/>
            </w:tcBorders>
            <w:shd w:val="clear" w:color="000000" w:fill="FFFFFF"/>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20"/>
                <w:szCs w:val="20"/>
              </w:rPr>
            </w:pPr>
          </w:p>
        </w:tc>
        <w:tc>
          <w:tcPr>
            <w:tcW w:w="1500" w:type="dxa"/>
            <w:gridSpan w:val="3"/>
            <w:tcBorders>
              <w:top w:val="nil"/>
              <w:left w:val="nil"/>
              <w:bottom w:val="nil"/>
              <w:right w:val="nil"/>
            </w:tcBorders>
            <w:shd w:val="clear" w:color="000000" w:fill="FFFFFF"/>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24"/>
                <w:szCs w:val="24"/>
              </w:rPr>
            </w:pPr>
          </w:p>
        </w:tc>
        <w:tc>
          <w:tcPr>
            <w:tcW w:w="1710" w:type="dxa"/>
            <w:gridSpan w:val="3"/>
            <w:tcBorders>
              <w:top w:val="nil"/>
              <w:left w:val="nil"/>
              <w:bottom w:val="nil"/>
              <w:right w:val="nil"/>
            </w:tcBorders>
            <w:shd w:val="clear" w:color="000000" w:fill="FFFFFF"/>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24"/>
                <w:szCs w:val="24"/>
              </w:rPr>
            </w:pPr>
          </w:p>
        </w:tc>
        <w:tc>
          <w:tcPr>
            <w:tcW w:w="1725" w:type="dxa"/>
            <w:gridSpan w:val="3"/>
            <w:tcBorders>
              <w:top w:val="nil"/>
              <w:left w:val="nil"/>
              <w:bottom w:val="nil"/>
              <w:right w:val="nil"/>
            </w:tcBorders>
            <w:shd w:val="clear" w:color="000000" w:fill="FFFFFF"/>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24"/>
                <w:szCs w:val="24"/>
              </w:rPr>
            </w:pPr>
          </w:p>
        </w:tc>
        <w:tc>
          <w:tcPr>
            <w:tcW w:w="1575" w:type="dxa"/>
            <w:tcBorders>
              <w:top w:val="nil"/>
              <w:left w:val="nil"/>
              <w:bottom w:val="nil"/>
              <w:right w:val="nil"/>
            </w:tcBorders>
            <w:shd w:val="clear" w:color="000000" w:fill="FFFFFF"/>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jc w:val="right"/>
              <w:textAlignment w:val="auto"/>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z w:val="20"/>
                <w:szCs w:val="20"/>
              </w:rPr>
              <w:t>单位：万元</w:t>
            </w:r>
          </w:p>
        </w:tc>
      </w:tr>
      <w:tr>
        <w:tblPrEx>
          <w:tblCellMar>
            <w:top w:w="0" w:type="dxa"/>
            <w:left w:w="0" w:type="dxa"/>
            <w:bottom w:w="0" w:type="dxa"/>
            <w:right w:w="0" w:type="dxa"/>
          </w:tblCellMar>
        </w:tblPrEx>
        <w:trPr>
          <w:trHeight w:val="450" w:hRule="atLeast"/>
        </w:trPr>
        <w:tc>
          <w:tcPr>
            <w:tcW w:w="3942" w:type="dxa"/>
            <w:gridSpan w:val="5"/>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项    目</w:t>
            </w:r>
          </w:p>
        </w:tc>
        <w:tc>
          <w:tcPr>
            <w:tcW w:w="1605" w:type="dxa"/>
            <w:gridSpan w:val="3"/>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本年收入合计</w:t>
            </w:r>
          </w:p>
        </w:tc>
        <w:tc>
          <w:tcPr>
            <w:tcW w:w="1740" w:type="dxa"/>
            <w:gridSpan w:val="3"/>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财政拨款收入</w:t>
            </w:r>
          </w:p>
        </w:tc>
        <w:tc>
          <w:tcPr>
            <w:tcW w:w="1590" w:type="dxa"/>
            <w:gridSpan w:val="3"/>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上级补助收入</w:t>
            </w:r>
          </w:p>
        </w:tc>
        <w:tc>
          <w:tcPr>
            <w:tcW w:w="1500" w:type="dxa"/>
            <w:gridSpan w:val="3"/>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事业收入</w:t>
            </w:r>
          </w:p>
        </w:tc>
        <w:tc>
          <w:tcPr>
            <w:tcW w:w="1710" w:type="dxa"/>
            <w:gridSpan w:val="3"/>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经营收入</w:t>
            </w:r>
          </w:p>
        </w:tc>
        <w:tc>
          <w:tcPr>
            <w:tcW w:w="1725" w:type="dxa"/>
            <w:gridSpan w:val="3"/>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附属单位上缴收入</w:t>
            </w:r>
          </w:p>
        </w:tc>
        <w:tc>
          <w:tcPr>
            <w:tcW w:w="157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其他收入</w:t>
            </w:r>
          </w:p>
        </w:tc>
      </w:tr>
      <w:tr>
        <w:tblPrEx>
          <w:tblCellMar>
            <w:top w:w="0" w:type="dxa"/>
            <w:left w:w="0" w:type="dxa"/>
            <w:bottom w:w="0" w:type="dxa"/>
            <w:right w:w="0" w:type="dxa"/>
          </w:tblCellMar>
        </w:tblPrEx>
        <w:trPr>
          <w:trHeight w:val="450" w:hRule="atLeast"/>
        </w:trPr>
        <w:tc>
          <w:tcPr>
            <w:tcW w:w="1167" w:type="dxa"/>
            <w:gridSpan w:val="3"/>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功能分类科目编码</w:t>
            </w:r>
          </w:p>
        </w:tc>
        <w:tc>
          <w:tcPr>
            <w:tcW w:w="2775" w:type="dxa"/>
            <w:gridSpan w:val="2"/>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科目名称</w:t>
            </w:r>
          </w:p>
        </w:tc>
        <w:tc>
          <w:tcPr>
            <w:tcW w:w="160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40"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90"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00"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10"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2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7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r>
      <w:tr>
        <w:tblPrEx>
          <w:tblCellMar>
            <w:top w:w="0" w:type="dxa"/>
            <w:left w:w="0" w:type="dxa"/>
            <w:bottom w:w="0" w:type="dxa"/>
            <w:right w:w="0" w:type="dxa"/>
          </w:tblCellMar>
        </w:tblPrEx>
        <w:trPr>
          <w:trHeight w:val="450" w:hRule="atLeast"/>
        </w:trPr>
        <w:tc>
          <w:tcPr>
            <w:tcW w:w="1167"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2775" w:type="dxa"/>
            <w:gridSpan w:val="2"/>
            <w:vMerge w:val="continue"/>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60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40"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90"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00"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10"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2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7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r>
      <w:tr>
        <w:tblPrEx>
          <w:tblCellMar>
            <w:top w:w="0" w:type="dxa"/>
            <w:left w:w="0" w:type="dxa"/>
            <w:bottom w:w="0" w:type="dxa"/>
            <w:right w:w="0" w:type="dxa"/>
          </w:tblCellMar>
        </w:tblPrEx>
        <w:trPr>
          <w:trHeight w:val="345" w:hRule="atLeast"/>
        </w:trPr>
        <w:tc>
          <w:tcPr>
            <w:tcW w:w="3942" w:type="dxa"/>
            <w:gridSpan w:val="5"/>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栏次</w:t>
            </w:r>
          </w:p>
        </w:tc>
        <w:tc>
          <w:tcPr>
            <w:tcW w:w="1605" w:type="dxa"/>
            <w:gridSpan w:val="3"/>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740" w:type="dxa"/>
            <w:gridSpan w:val="3"/>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w:t>
            </w:r>
          </w:p>
        </w:tc>
        <w:tc>
          <w:tcPr>
            <w:tcW w:w="1590" w:type="dxa"/>
            <w:gridSpan w:val="3"/>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w:t>
            </w:r>
          </w:p>
        </w:tc>
        <w:tc>
          <w:tcPr>
            <w:tcW w:w="1500" w:type="dxa"/>
            <w:gridSpan w:val="3"/>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4</w:t>
            </w:r>
          </w:p>
        </w:tc>
        <w:tc>
          <w:tcPr>
            <w:tcW w:w="1710" w:type="dxa"/>
            <w:gridSpan w:val="3"/>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5</w:t>
            </w:r>
          </w:p>
        </w:tc>
        <w:tc>
          <w:tcPr>
            <w:tcW w:w="1725" w:type="dxa"/>
            <w:gridSpan w:val="3"/>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6</w:t>
            </w:r>
          </w:p>
        </w:tc>
        <w:tc>
          <w:tcPr>
            <w:tcW w:w="1575" w:type="dxa"/>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7</w:t>
            </w:r>
          </w:p>
        </w:tc>
      </w:tr>
      <w:tr>
        <w:tblPrEx>
          <w:tblCellMar>
            <w:top w:w="0" w:type="dxa"/>
            <w:left w:w="0" w:type="dxa"/>
            <w:bottom w:w="0" w:type="dxa"/>
            <w:right w:w="0" w:type="dxa"/>
          </w:tblCellMar>
        </w:tblPrEx>
        <w:trPr>
          <w:trHeight w:val="357" w:hRule="atLeast"/>
        </w:trPr>
        <w:tc>
          <w:tcPr>
            <w:tcW w:w="3942" w:type="dxa"/>
            <w:gridSpan w:val="5"/>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合计</w:t>
            </w:r>
          </w:p>
        </w:tc>
        <w:tc>
          <w:tcPr>
            <w:tcW w:w="160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i w:val="0"/>
                <w:color w:val="auto"/>
                <w:kern w:val="0"/>
                <w:sz w:val="24"/>
                <w:szCs w:val="24"/>
                <w:u w:val="none"/>
                <w:lang w:val="en-US" w:eastAsia="zh-CN" w:bidi="ar"/>
              </w:rPr>
              <w:t>253.14</w:t>
            </w:r>
          </w:p>
        </w:tc>
        <w:tc>
          <w:tcPr>
            <w:tcW w:w="174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i w:val="0"/>
                <w:color w:val="auto"/>
                <w:kern w:val="0"/>
                <w:sz w:val="24"/>
                <w:szCs w:val="24"/>
                <w:u w:val="none"/>
                <w:lang w:val="en-US" w:eastAsia="zh-CN" w:bidi="ar"/>
              </w:rPr>
              <w:t>253.14</w:t>
            </w:r>
          </w:p>
        </w:tc>
        <w:tc>
          <w:tcPr>
            <w:tcW w:w="159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bCs/>
                <w:color w:val="auto"/>
                <w:sz w:val="24"/>
                <w:szCs w:val="24"/>
              </w:rPr>
            </w:pPr>
          </w:p>
        </w:tc>
        <w:tc>
          <w:tcPr>
            <w:tcW w:w="150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1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2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7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r>
      <w:tr>
        <w:tblPrEx>
          <w:tblCellMar>
            <w:top w:w="0" w:type="dxa"/>
            <w:left w:w="0" w:type="dxa"/>
            <w:bottom w:w="0" w:type="dxa"/>
            <w:right w:w="0"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206</w:t>
            </w:r>
          </w:p>
        </w:tc>
        <w:tc>
          <w:tcPr>
            <w:tcW w:w="2775" w:type="dxa"/>
            <w:gridSpan w:val="2"/>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科学技术支出</w:t>
            </w:r>
          </w:p>
        </w:tc>
        <w:tc>
          <w:tcPr>
            <w:tcW w:w="160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i w:val="0"/>
                <w:color w:val="auto"/>
                <w:kern w:val="0"/>
                <w:sz w:val="24"/>
                <w:szCs w:val="24"/>
                <w:u w:val="none"/>
                <w:lang w:val="en-US" w:eastAsia="zh-CN" w:bidi="ar"/>
              </w:rPr>
              <w:t>215.18</w:t>
            </w:r>
          </w:p>
        </w:tc>
        <w:tc>
          <w:tcPr>
            <w:tcW w:w="174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i w:val="0"/>
                <w:color w:val="auto"/>
                <w:kern w:val="0"/>
                <w:sz w:val="24"/>
                <w:szCs w:val="24"/>
                <w:u w:val="none"/>
                <w:lang w:val="en-US" w:eastAsia="zh-CN" w:bidi="ar"/>
              </w:rPr>
              <w:t>215.18</w:t>
            </w:r>
          </w:p>
        </w:tc>
        <w:tc>
          <w:tcPr>
            <w:tcW w:w="159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0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1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2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7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r>
      <w:tr>
        <w:tblPrEx>
          <w:tblCellMar>
            <w:top w:w="0" w:type="dxa"/>
            <w:left w:w="0" w:type="dxa"/>
            <w:bottom w:w="0" w:type="dxa"/>
            <w:right w:w="0"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20602</w:t>
            </w:r>
          </w:p>
        </w:tc>
        <w:tc>
          <w:tcPr>
            <w:tcW w:w="2775" w:type="dxa"/>
            <w:gridSpan w:val="2"/>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基础研究</w:t>
            </w:r>
          </w:p>
        </w:tc>
        <w:tc>
          <w:tcPr>
            <w:tcW w:w="160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i w:val="0"/>
                <w:color w:val="auto"/>
                <w:kern w:val="0"/>
                <w:sz w:val="24"/>
                <w:szCs w:val="24"/>
                <w:u w:val="none"/>
                <w:lang w:val="en-US" w:eastAsia="zh-CN" w:bidi="ar"/>
              </w:rPr>
              <w:t>10.00</w:t>
            </w:r>
          </w:p>
        </w:tc>
        <w:tc>
          <w:tcPr>
            <w:tcW w:w="174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i w:val="0"/>
                <w:color w:val="auto"/>
                <w:kern w:val="0"/>
                <w:sz w:val="24"/>
                <w:szCs w:val="24"/>
                <w:u w:val="none"/>
                <w:lang w:val="en-US" w:eastAsia="zh-CN" w:bidi="ar"/>
              </w:rPr>
              <w:t>10.00</w:t>
            </w:r>
          </w:p>
        </w:tc>
        <w:tc>
          <w:tcPr>
            <w:tcW w:w="159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0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1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2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7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r>
      <w:tr>
        <w:tblPrEx>
          <w:tblCellMar>
            <w:top w:w="0" w:type="dxa"/>
            <w:left w:w="0" w:type="dxa"/>
            <w:bottom w:w="0" w:type="dxa"/>
            <w:right w:w="0"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2060208</w:t>
            </w:r>
          </w:p>
        </w:tc>
        <w:tc>
          <w:tcPr>
            <w:tcW w:w="2775" w:type="dxa"/>
            <w:gridSpan w:val="2"/>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科技人才队伍建设</w:t>
            </w:r>
          </w:p>
        </w:tc>
        <w:tc>
          <w:tcPr>
            <w:tcW w:w="160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i w:val="0"/>
                <w:color w:val="auto"/>
                <w:kern w:val="0"/>
                <w:sz w:val="24"/>
                <w:szCs w:val="24"/>
                <w:u w:val="none"/>
                <w:lang w:val="en-US" w:eastAsia="zh-CN" w:bidi="ar"/>
              </w:rPr>
              <w:t>10.00</w:t>
            </w:r>
          </w:p>
        </w:tc>
        <w:tc>
          <w:tcPr>
            <w:tcW w:w="174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i w:val="0"/>
                <w:color w:val="auto"/>
                <w:kern w:val="0"/>
                <w:sz w:val="24"/>
                <w:szCs w:val="24"/>
                <w:u w:val="none"/>
                <w:lang w:val="en-US" w:eastAsia="zh-CN" w:bidi="ar"/>
              </w:rPr>
              <w:t>10.00</w:t>
            </w:r>
          </w:p>
        </w:tc>
        <w:tc>
          <w:tcPr>
            <w:tcW w:w="159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0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1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2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7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r>
      <w:tr>
        <w:tblPrEx>
          <w:tblCellMar>
            <w:top w:w="0" w:type="dxa"/>
            <w:left w:w="0" w:type="dxa"/>
            <w:bottom w:w="0" w:type="dxa"/>
            <w:right w:w="0"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20603</w:t>
            </w:r>
          </w:p>
        </w:tc>
        <w:tc>
          <w:tcPr>
            <w:tcW w:w="2775" w:type="dxa"/>
            <w:gridSpan w:val="2"/>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应用研究</w:t>
            </w:r>
          </w:p>
        </w:tc>
        <w:tc>
          <w:tcPr>
            <w:tcW w:w="160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i w:val="0"/>
                <w:color w:val="auto"/>
                <w:kern w:val="0"/>
                <w:sz w:val="24"/>
                <w:szCs w:val="24"/>
                <w:u w:val="none"/>
                <w:lang w:val="en-US" w:eastAsia="zh-CN" w:bidi="ar"/>
              </w:rPr>
              <w:t>205.18</w:t>
            </w:r>
          </w:p>
        </w:tc>
        <w:tc>
          <w:tcPr>
            <w:tcW w:w="174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i w:val="0"/>
                <w:color w:val="auto"/>
                <w:kern w:val="0"/>
                <w:sz w:val="24"/>
                <w:szCs w:val="24"/>
                <w:u w:val="none"/>
                <w:lang w:val="en-US" w:eastAsia="zh-CN" w:bidi="ar"/>
              </w:rPr>
              <w:t>205.18</w:t>
            </w:r>
          </w:p>
        </w:tc>
        <w:tc>
          <w:tcPr>
            <w:tcW w:w="159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0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1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2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7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r>
      <w:tr>
        <w:tblPrEx>
          <w:tblCellMar>
            <w:top w:w="0" w:type="dxa"/>
            <w:left w:w="0" w:type="dxa"/>
            <w:bottom w:w="0" w:type="dxa"/>
            <w:right w:w="0"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2060301</w:t>
            </w:r>
          </w:p>
        </w:tc>
        <w:tc>
          <w:tcPr>
            <w:tcW w:w="2775" w:type="dxa"/>
            <w:gridSpan w:val="2"/>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i w:val="0"/>
                <w:color w:val="auto"/>
                <w:kern w:val="0"/>
                <w:sz w:val="24"/>
                <w:szCs w:val="24"/>
                <w:u w:val="none"/>
                <w:lang w:val="en-US" w:eastAsia="zh-CN" w:bidi="ar"/>
              </w:rPr>
              <w:t>机构运行</w:t>
            </w:r>
          </w:p>
        </w:tc>
        <w:tc>
          <w:tcPr>
            <w:tcW w:w="160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i w:val="0"/>
                <w:color w:val="auto"/>
                <w:kern w:val="0"/>
                <w:sz w:val="24"/>
                <w:szCs w:val="24"/>
                <w:u w:val="none"/>
                <w:lang w:val="en-US" w:eastAsia="zh-CN" w:bidi="ar"/>
              </w:rPr>
              <w:t>95.18</w:t>
            </w:r>
          </w:p>
        </w:tc>
        <w:tc>
          <w:tcPr>
            <w:tcW w:w="174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i w:val="0"/>
                <w:color w:val="auto"/>
                <w:kern w:val="0"/>
                <w:sz w:val="24"/>
                <w:szCs w:val="24"/>
                <w:u w:val="none"/>
                <w:lang w:val="en-US" w:eastAsia="zh-CN" w:bidi="ar"/>
              </w:rPr>
              <w:t>95.18</w:t>
            </w:r>
          </w:p>
        </w:tc>
        <w:tc>
          <w:tcPr>
            <w:tcW w:w="159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0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1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2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7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r>
      <w:tr>
        <w:tblPrEx>
          <w:tblCellMar>
            <w:top w:w="0" w:type="dxa"/>
            <w:left w:w="0" w:type="dxa"/>
            <w:bottom w:w="0" w:type="dxa"/>
            <w:right w:w="0"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2060302</w:t>
            </w:r>
          </w:p>
        </w:tc>
        <w:tc>
          <w:tcPr>
            <w:tcW w:w="2775" w:type="dxa"/>
            <w:gridSpan w:val="2"/>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i w:val="0"/>
                <w:color w:val="auto"/>
                <w:kern w:val="0"/>
                <w:sz w:val="24"/>
                <w:szCs w:val="24"/>
                <w:u w:val="none"/>
                <w:lang w:val="en-US" w:eastAsia="zh-CN" w:bidi="ar"/>
              </w:rPr>
              <w:t>社会公益研究</w:t>
            </w:r>
          </w:p>
        </w:tc>
        <w:tc>
          <w:tcPr>
            <w:tcW w:w="160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i w:val="0"/>
                <w:color w:val="auto"/>
                <w:kern w:val="0"/>
                <w:sz w:val="24"/>
                <w:szCs w:val="24"/>
                <w:u w:val="none"/>
                <w:lang w:val="en-US" w:eastAsia="zh-CN" w:bidi="ar"/>
              </w:rPr>
              <w:t>110.00</w:t>
            </w:r>
          </w:p>
        </w:tc>
        <w:tc>
          <w:tcPr>
            <w:tcW w:w="174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i w:val="0"/>
                <w:color w:val="auto"/>
                <w:kern w:val="0"/>
                <w:sz w:val="24"/>
                <w:szCs w:val="24"/>
                <w:u w:val="none"/>
                <w:lang w:val="en-US" w:eastAsia="zh-CN" w:bidi="ar"/>
              </w:rPr>
              <w:t>110.00</w:t>
            </w:r>
          </w:p>
        </w:tc>
        <w:tc>
          <w:tcPr>
            <w:tcW w:w="159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0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1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2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7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r>
      <w:tr>
        <w:tblPrEx>
          <w:tblCellMar>
            <w:top w:w="0" w:type="dxa"/>
            <w:left w:w="0" w:type="dxa"/>
            <w:bottom w:w="0" w:type="dxa"/>
            <w:right w:w="0"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208</w:t>
            </w:r>
          </w:p>
        </w:tc>
        <w:tc>
          <w:tcPr>
            <w:tcW w:w="2775" w:type="dxa"/>
            <w:gridSpan w:val="2"/>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社会保障和就业支出</w:t>
            </w:r>
          </w:p>
        </w:tc>
        <w:tc>
          <w:tcPr>
            <w:tcW w:w="160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i w:val="0"/>
                <w:color w:val="auto"/>
                <w:kern w:val="0"/>
                <w:sz w:val="24"/>
                <w:szCs w:val="24"/>
                <w:u w:val="none"/>
                <w:lang w:val="en-US" w:eastAsia="zh-CN" w:bidi="ar"/>
              </w:rPr>
              <w:t>14.04</w:t>
            </w:r>
          </w:p>
        </w:tc>
        <w:tc>
          <w:tcPr>
            <w:tcW w:w="174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i w:val="0"/>
                <w:color w:val="auto"/>
                <w:kern w:val="0"/>
                <w:sz w:val="24"/>
                <w:szCs w:val="24"/>
                <w:u w:val="none"/>
                <w:lang w:val="en-US" w:eastAsia="zh-CN" w:bidi="ar"/>
              </w:rPr>
              <w:t>14.04</w:t>
            </w:r>
          </w:p>
        </w:tc>
        <w:tc>
          <w:tcPr>
            <w:tcW w:w="159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0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1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2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7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r>
      <w:tr>
        <w:tblPrEx>
          <w:tblCellMar>
            <w:top w:w="0" w:type="dxa"/>
            <w:left w:w="0" w:type="dxa"/>
            <w:bottom w:w="0" w:type="dxa"/>
            <w:right w:w="0"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20805</w:t>
            </w:r>
          </w:p>
        </w:tc>
        <w:tc>
          <w:tcPr>
            <w:tcW w:w="2775" w:type="dxa"/>
            <w:gridSpan w:val="2"/>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行政事业单位养老支出</w:t>
            </w:r>
          </w:p>
        </w:tc>
        <w:tc>
          <w:tcPr>
            <w:tcW w:w="160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i w:val="0"/>
                <w:color w:val="auto"/>
                <w:kern w:val="0"/>
                <w:sz w:val="24"/>
                <w:szCs w:val="24"/>
                <w:u w:val="none"/>
                <w:lang w:val="en-US" w:eastAsia="zh-CN" w:bidi="ar"/>
              </w:rPr>
              <w:t>14.04</w:t>
            </w:r>
          </w:p>
        </w:tc>
        <w:tc>
          <w:tcPr>
            <w:tcW w:w="174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i w:val="0"/>
                <w:color w:val="auto"/>
                <w:kern w:val="0"/>
                <w:sz w:val="24"/>
                <w:szCs w:val="24"/>
                <w:u w:val="none"/>
                <w:lang w:val="en-US" w:eastAsia="zh-CN" w:bidi="ar"/>
              </w:rPr>
              <w:t>14.04</w:t>
            </w:r>
          </w:p>
        </w:tc>
        <w:tc>
          <w:tcPr>
            <w:tcW w:w="159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0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1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2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7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r>
      <w:tr>
        <w:tblPrEx>
          <w:tblCellMar>
            <w:top w:w="0" w:type="dxa"/>
            <w:left w:w="0" w:type="dxa"/>
            <w:bottom w:w="0" w:type="dxa"/>
            <w:right w:w="0"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2080505</w:t>
            </w:r>
          </w:p>
        </w:tc>
        <w:tc>
          <w:tcPr>
            <w:tcW w:w="2775" w:type="dxa"/>
            <w:gridSpan w:val="2"/>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i w:val="0"/>
                <w:color w:val="auto"/>
                <w:kern w:val="0"/>
                <w:sz w:val="24"/>
                <w:szCs w:val="24"/>
                <w:u w:val="none"/>
                <w:lang w:val="en-US" w:eastAsia="zh-CN" w:bidi="ar"/>
              </w:rPr>
              <w:t>机关事业单位基本养老保险缴费支出</w:t>
            </w:r>
          </w:p>
        </w:tc>
        <w:tc>
          <w:tcPr>
            <w:tcW w:w="160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i w:val="0"/>
                <w:color w:val="auto"/>
                <w:kern w:val="0"/>
                <w:sz w:val="24"/>
                <w:szCs w:val="24"/>
                <w:u w:val="none"/>
                <w:lang w:val="en-US" w:eastAsia="zh-CN" w:bidi="ar"/>
              </w:rPr>
              <w:t>14.04</w:t>
            </w:r>
          </w:p>
        </w:tc>
        <w:tc>
          <w:tcPr>
            <w:tcW w:w="174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i w:val="0"/>
                <w:color w:val="auto"/>
                <w:kern w:val="0"/>
                <w:sz w:val="24"/>
                <w:szCs w:val="24"/>
                <w:u w:val="none"/>
                <w:lang w:val="en-US" w:eastAsia="zh-CN" w:bidi="ar"/>
              </w:rPr>
              <w:t>14.04</w:t>
            </w:r>
          </w:p>
        </w:tc>
        <w:tc>
          <w:tcPr>
            <w:tcW w:w="159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0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1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2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7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r>
      <w:tr>
        <w:tblPrEx>
          <w:tblCellMar>
            <w:top w:w="0" w:type="dxa"/>
            <w:left w:w="0" w:type="dxa"/>
            <w:bottom w:w="0" w:type="dxa"/>
            <w:right w:w="0" w:type="dxa"/>
          </w:tblCellMar>
        </w:tblPrEx>
        <w:trPr>
          <w:trHeight w:val="347"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221</w:t>
            </w:r>
          </w:p>
        </w:tc>
        <w:tc>
          <w:tcPr>
            <w:tcW w:w="2775" w:type="dxa"/>
            <w:gridSpan w:val="2"/>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住房保障支出</w:t>
            </w:r>
          </w:p>
        </w:tc>
        <w:tc>
          <w:tcPr>
            <w:tcW w:w="1605"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i w:val="0"/>
                <w:color w:val="auto"/>
                <w:kern w:val="0"/>
                <w:sz w:val="24"/>
                <w:szCs w:val="24"/>
                <w:u w:val="none"/>
                <w:lang w:val="en-US" w:eastAsia="zh-CN" w:bidi="ar"/>
              </w:rPr>
              <w:t>23.92</w:t>
            </w:r>
          </w:p>
        </w:tc>
        <w:tc>
          <w:tcPr>
            <w:tcW w:w="1740"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i w:val="0"/>
                <w:color w:val="auto"/>
                <w:kern w:val="0"/>
                <w:sz w:val="24"/>
                <w:szCs w:val="24"/>
                <w:u w:val="none"/>
                <w:lang w:val="en-US" w:eastAsia="zh-CN" w:bidi="ar"/>
              </w:rPr>
              <w:t>23.92</w:t>
            </w:r>
          </w:p>
        </w:tc>
        <w:tc>
          <w:tcPr>
            <w:tcW w:w="1590"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00"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10"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25"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r>
      <w:tr>
        <w:tblPrEx>
          <w:tblCellMar>
            <w:top w:w="0" w:type="dxa"/>
            <w:left w:w="0" w:type="dxa"/>
            <w:bottom w:w="0" w:type="dxa"/>
            <w:right w:w="0"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22102</w:t>
            </w:r>
          </w:p>
        </w:tc>
        <w:tc>
          <w:tcPr>
            <w:tcW w:w="2775" w:type="dxa"/>
            <w:gridSpan w:val="2"/>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住房改革支出</w:t>
            </w:r>
          </w:p>
        </w:tc>
        <w:tc>
          <w:tcPr>
            <w:tcW w:w="1605"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i w:val="0"/>
                <w:color w:val="auto"/>
                <w:kern w:val="0"/>
                <w:sz w:val="24"/>
                <w:szCs w:val="24"/>
                <w:u w:val="none"/>
                <w:lang w:val="en-US" w:eastAsia="zh-CN" w:bidi="ar"/>
              </w:rPr>
              <w:t>23.92</w:t>
            </w:r>
          </w:p>
        </w:tc>
        <w:tc>
          <w:tcPr>
            <w:tcW w:w="1740"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i w:val="0"/>
                <w:color w:val="auto"/>
                <w:kern w:val="0"/>
                <w:sz w:val="24"/>
                <w:szCs w:val="24"/>
                <w:u w:val="none"/>
                <w:lang w:val="en-US" w:eastAsia="zh-CN" w:bidi="ar"/>
              </w:rPr>
              <w:t>23.92</w:t>
            </w:r>
          </w:p>
        </w:tc>
        <w:tc>
          <w:tcPr>
            <w:tcW w:w="1590"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00"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10"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25"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r>
      <w:tr>
        <w:tblPrEx>
          <w:tblCellMar>
            <w:top w:w="0" w:type="dxa"/>
            <w:left w:w="0" w:type="dxa"/>
            <w:bottom w:w="0" w:type="dxa"/>
            <w:right w:w="0"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2210201</w:t>
            </w:r>
          </w:p>
        </w:tc>
        <w:tc>
          <w:tcPr>
            <w:tcW w:w="2775" w:type="dxa"/>
            <w:gridSpan w:val="2"/>
            <w:tcBorders>
              <w:top w:val="single" w:color="auto" w:sz="4" w:space="0"/>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i w:val="0"/>
                <w:color w:val="auto"/>
                <w:kern w:val="0"/>
                <w:sz w:val="24"/>
                <w:szCs w:val="24"/>
                <w:u w:val="none"/>
                <w:lang w:val="en-US" w:eastAsia="zh-CN" w:bidi="ar"/>
              </w:rPr>
              <w:t>住房公积金</w:t>
            </w:r>
          </w:p>
        </w:tc>
        <w:tc>
          <w:tcPr>
            <w:tcW w:w="1605" w:type="dxa"/>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i w:val="0"/>
                <w:color w:val="auto"/>
                <w:kern w:val="0"/>
                <w:sz w:val="24"/>
                <w:szCs w:val="24"/>
                <w:u w:val="none"/>
                <w:lang w:val="en-US" w:eastAsia="zh-CN" w:bidi="ar"/>
              </w:rPr>
              <w:t>14.95</w:t>
            </w:r>
          </w:p>
        </w:tc>
        <w:tc>
          <w:tcPr>
            <w:tcW w:w="1740" w:type="dxa"/>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i w:val="0"/>
                <w:color w:val="auto"/>
                <w:kern w:val="0"/>
                <w:sz w:val="24"/>
                <w:szCs w:val="24"/>
                <w:u w:val="none"/>
                <w:lang w:val="en-US" w:eastAsia="zh-CN" w:bidi="ar"/>
              </w:rPr>
              <w:t>14.95</w:t>
            </w:r>
          </w:p>
        </w:tc>
        <w:tc>
          <w:tcPr>
            <w:tcW w:w="1590" w:type="dxa"/>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00" w:type="dxa"/>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10" w:type="dxa"/>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25" w:type="dxa"/>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75"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r>
      <w:tr>
        <w:tblPrEx>
          <w:tblCellMar>
            <w:top w:w="0" w:type="dxa"/>
            <w:left w:w="0" w:type="dxa"/>
            <w:bottom w:w="0" w:type="dxa"/>
            <w:right w:w="0"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2210203</w:t>
            </w:r>
          </w:p>
        </w:tc>
        <w:tc>
          <w:tcPr>
            <w:tcW w:w="2775" w:type="dxa"/>
            <w:gridSpan w:val="2"/>
            <w:tcBorders>
              <w:top w:val="nil"/>
              <w:left w:val="nil"/>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i w:val="0"/>
                <w:color w:val="auto"/>
                <w:kern w:val="0"/>
                <w:sz w:val="24"/>
                <w:szCs w:val="24"/>
                <w:u w:val="none"/>
                <w:lang w:val="en-US" w:eastAsia="zh-CN" w:bidi="ar"/>
              </w:rPr>
              <w:t>购房补贴</w:t>
            </w:r>
          </w:p>
        </w:tc>
        <w:tc>
          <w:tcPr>
            <w:tcW w:w="160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i w:val="0"/>
                <w:color w:val="auto"/>
                <w:kern w:val="0"/>
                <w:sz w:val="24"/>
                <w:szCs w:val="24"/>
                <w:u w:val="none"/>
                <w:lang w:val="en-US" w:eastAsia="zh-CN" w:bidi="ar"/>
              </w:rPr>
              <w:t>8.97</w:t>
            </w:r>
          </w:p>
        </w:tc>
        <w:tc>
          <w:tcPr>
            <w:tcW w:w="174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i w:val="0"/>
                <w:color w:val="auto"/>
                <w:kern w:val="0"/>
                <w:sz w:val="24"/>
                <w:szCs w:val="24"/>
                <w:u w:val="none"/>
                <w:lang w:val="en-US" w:eastAsia="zh-CN" w:bidi="ar"/>
              </w:rPr>
              <w:t>8.97</w:t>
            </w:r>
          </w:p>
        </w:tc>
        <w:tc>
          <w:tcPr>
            <w:tcW w:w="159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0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10"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725" w:type="dxa"/>
            <w:gridSpan w:val="3"/>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c>
          <w:tcPr>
            <w:tcW w:w="157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24"/>
                <w:szCs w:val="24"/>
              </w:rPr>
            </w:pPr>
          </w:p>
        </w:tc>
      </w:tr>
      <w:tr>
        <w:tblPrEx>
          <w:tblCellMar>
            <w:top w:w="0" w:type="dxa"/>
            <w:left w:w="0" w:type="dxa"/>
            <w:bottom w:w="0" w:type="dxa"/>
            <w:right w:w="0" w:type="dxa"/>
          </w:tblCellMar>
        </w:tblPrEx>
        <w:trPr>
          <w:trHeight w:val="615" w:hRule="atLeast"/>
        </w:trPr>
        <w:tc>
          <w:tcPr>
            <w:tcW w:w="15387" w:type="dxa"/>
            <w:gridSpan w:val="24"/>
            <w:tcBorders>
              <w:top w:val="nil"/>
              <w:left w:val="nil"/>
              <w:bottom w:val="nil"/>
              <w:right w:val="nil"/>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注：本表反映部门本年度取得的各项收入情况。</w:t>
            </w:r>
          </w:p>
        </w:tc>
      </w:tr>
      <w:tr>
        <w:tblPrEx>
          <w:tblCellMar>
            <w:top w:w="0" w:type="dxa"/>
            <w:left w:w="108" w:type="dxa"/>
            <w:bottom w:w="0" w:type="dxa"/>
            <w:right w:w="108" w:type="dxa"/>
          </w:tblCellMar>
        </w:tblPrEx>
        <w:trPr>
          <w:trHeight w:val="435" w:hRule="atLeast"/>
        </w:trPr>
        <w:tc>
          <w:tcPr>
            <w:tcW w:w="15387" w:type="dxa"/>
            <w:gridSpan w:val="24"/>
            <w:tcBorders>
              <w:top w:val="nil"/>
              <w:left w:val="nil"/>
              <w:bottom w:val="nil"/>
              <w:right w:val="nil"/>
            </w:tcBorders>
            <w:shd w:val="clear" w:color="auto" w:fill="auto"/>
            <w:vAlign w:val="center"/>
          </w:tcPr>
          <w:p>
            <w:pPr>
              <w:widowControl/>
              <w:jc w:val="center"/>
              <w:rPr>
                <w:rFonts w:hint="default" w:ascii="Times New Roman" w:hAnsi="Times New Roman" w:eastAsia="宋体" w:cs="Times New Roman"/>
                <w:color w:val="auto"/>
                <w:kern w:val="0"/>
                <w:sz w:val="32"/>
                <w:szCs w:val="32"/>
              </w:rPr>
            </w:pPr>
            <w:r>
              <w:rPr>
                <w:rFonts w:hint="default" w:ascii="Times New Roman" w:hAnsi="Times New Roman" w:eastAsia="方正小标宋_GBK" w:cs="Times New Roman"/>
                <w:color w:val="auto"/>
                <w:kern w:val="0"/>
                <w:sz w:val="32"/>
                <w:szCs w:val="32"/>
              </w:rPr>
              <w:t>支出决算表</w:t>
            </w:r>
          </w:p>
        </w:tc>
      </w:tr>
      <w:tr>
        <w:tblPrEx>
          <w:tblCellMar>
            <w:top w:w="0" w:type="dxa"/>
            <w:left w:w="108" w:type="dxa"/>
            <w:bottom w:w="0" w:type="dxa"/>
            <w:right w:w="108" w:type="dxa"/>
          </w:tblCellMar>
        </w:tblPrEx>
        <w:trPr>
          <w:trHeight w:val="285" w:hRule="atLeast"/>
        </w:trPr>
        <w:tc>
          <w:tcPr>
            <w:tcW w:w="1167" w:type="dxa"/>
            <w:gridSpan w:val="3"/>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481" w:type="dxa"/>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903" w:type="dxa"/>
            <w:gridSpan w:val="3"/>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710" w:type="dxa"/>
            <w:gridSpan w:val="3"/>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875" w:type="dxa"/>
            <w:gridSpan w:val="3"/>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845" w:type="dxa"/>
            <w:gridSpan w:val="3"/>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815" w:type="dxa"/>
            <w:gridSpan w:val="3"/>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665" w:type="dxa"/>
            <w:gridSpan w:val="3"/>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926" w:type="dxa"/>
            <w:gridSpan w:val="2"/>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公开03表</w:t>
            </w:r>
          </w:p>
        </w:tc>
      </w:tr>
      <w:tr>
        <w:tblPrEx>
          <w:tblCellMar>
            <w:top w:w="0" w:type="dxa"/>
            <w:left w:w="108" w:type="dxa"/>
            <w:bottom w:w="0" w:type="dxa"/>
            <w:right w:w="108" w:type="dxa"/>
          </w:tblCellMar>
        </w:tblPrEx>
        <w:trPr>
          <w:trHeight w:val="285" w:hRule="atLeast"/>
        </w:trPr>
        <w:tc>
          <w:tcPr>
            <w:tcW w:w="5877" w:type="dxa"/>
            <w:gridSpan w:val="9"/>
            <w:tcBorders>
              <w:top w:val="nil"/>
              <w:left w:val="nil"/>
              <w:bottom w:val="nil"/>
              <w:right w:val="nil"/>
            </w:tcBorders>
            <w:shd w:val="clear" w:color="000000" w:fill="FFFFFF"/>
            <w:vAlign w:val="center"/>
          </w:tcPr>
          <w:p>
            <w:pPr>
              <w:widowControl/>
              <w:jc w:val="lef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0"/>
                <w:szCs w:val="20"/>
              </w:rPr>
              <w:t>部门：</w:t>
            </w:r>
            <w:r>
              <w:rPr>
                <w:rFonts w:hint="default" w:ascii="Times New Roman" w:hAnsi="Times New Roman" w:eastAsia="宋体" w:cs="Times New Roman"/>
                <w:color w:val="auto"/>
                <w:kern w:val="0"/>
                <w:sz w:val="20"/>
                <w:szCs w:val="20"/>
                <w:lang w:eastAsia="zh-CN"/>
              </w:rPr>
              <w:t>湖南省国际人才智力交流协作中心</w:t>
            </w:r>
          </w:p>
        </w:tc>
        <w:tc>
          <w:tcPr>
            <w:tcW w:w="1875" w:type="dxa"/>
            <w:gridSpan w:val="3"/>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845" w:type="dxa"/>
            <w:gridSpan w:val="3"/>
            <w:tcBorders>
              <w:top w:val="nil"/>
              <w:left w:val="nil"/>
              <w:bottom w:val="nil"/>
              <w:right w:val="nil"/>
            </w:tcBorders>
            <w:shd w:val="clear" w:color="000000" w:fill="FFFFFF"/>
            <w:vAlign w:val="center"/>
          </w:tcPr>
          <w:p>
            <w:pPr>
              <w:widowControl/>
              <w:jc w:val="center"/>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　</w:t>
            </w:r>
          </w:p>
        </w:tc>
        <w:tc>
          <w:tcPr>
            <w:tcW w:w="1815" w:type="dxa"/>
            <w:gridSpan w:val="3"/>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665" w:type="dxa"/>
            <w:gridSpan w:val="3"/>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310" w:type="dxa"/>
            <w:gridSpan w:val="3"/>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单位：万元</w:t>
            </w:r>
          </w:p>
        </w:tc>
      </w:tr>
      <w:tr>
        <w:tblPrEx>
          <w:tblCellMar>
            <w:top w:w="0" w:type="dxa"/>
            <w:left w:w="108" w:type="dxa"/>
            <w:bottom w:w="0" w:type="dxa"/>
            <w:right w:w="108" w:type="dxa"/>
          </w:tblCellMar>
        </w:tblPrEx>
        <w:trPr>
          <w:trHeight w:val="450" w:hRule="atLeast"/>
        </w:trPr>
        <w:tc>
          <w:tcPr>
            <w:tcW w:w="4092" w:type="dxa"/>
            <w:gridSpan w:val="6"/>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项    目</w:t>
            </w:r>
          </w:p>
        </w:tc>
        <w:tc>
          <w:tcPr>
            <w:tcW w:w="1785"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本年支出合计</w:t>
            </w:r>
          </w:p>
        </w:tc>
        <w:tc>
          <w:tcPr>
            <w:tcW w:w="1875"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基本支出</w:t>
            </w:r>
          </w:p>
        </w:tc>
        <w:tc>
          <w:tcPr>
            <w:tcW w:w="1845"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项目支出</w:t>
            </w:r>
          </w:p>
        </w:tc>
        <w:tc>
          <w:tcPr>
            <w:tcW w:w="1815"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上缴上级支出</w:t>
            </w:r>
          </w:p>
        </w:tc>
        <w:tc>
          <w:tcPr>
            <w:tcW w:w="1665"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经营支出</w:t>
            </w:r>
          </w:p>
        </w:tc>
        <w:tc>
          <w:tcPr>
            <w:tcW w:w="2310"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对附属单位补助支出</w:t>
            </w:r>
          </w:p>
        </w:tc>
      </w:tr>
      <w:tr>
        <w:tblPrEx>
          <w:tblCellMar>
            <w:top w:w="0" w:type="dxa"/>
            <w:left w:w="108" w:type="dxa"/>
            <w:bottom w:w="0" w:type="dxa"/>
            <w:right w:w="108" w:type="dxa"/>
          </w:tblCellMar>
        </w:tblPrEx>
        <w:trPr>
          <w:trHeight w:val="450" w:hRule="atLeast"/>
        </w:trPr>
        <w:tc>
          <w:tcPr>
            <w:tcW w:w="1167"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功能分类科目编码</w:t>
            </w:r>
          </w:p>
        </w:tc>
        <w:tc>
          <w:tcPr>
            <w:tcW w:w="2925" w:type="dxa"/>
            <w:gridSpan w:val="3"/>
            <w:vMerge w:val="restart"/>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科目名称</w:t>
            </w:r>
          </w:p>
        </w:tc>
        <w:tc>
          <w:tcPr>
            <w:tcW w:w="178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187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184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181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166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2310"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380" w:hRule="atLeast"/>
        </w:trPr>
        <w:tc>
          <w:tcPr>
            <w:tcW w:w="1167"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2925" w:type="dxa"/>
            <w:gridSpan w:val="3"/>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178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187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184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181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166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2310"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354" w:hRule="atLeast"/>
        </w:trPr>
        <w:tc>
          <w:tcPr>
            <w:tcW w:w="4092" w:type="dxa"/>
            <w:gridSpan w:val="6"/>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栏次</w:t>
            </w:r>
          </w:p>
        </w:tc>
        <w:tc>
          <w:tcPr>
            <w:tcW w:w="1785"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1</w:t>
            </w:r>
          </w:p>
        </w:tc>
        <w:tc>
          <w:tcPr>
            <w:tcW w:w="1875"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2</w:t>
            </w:r>
          </w:p>
        </w:tc>
        <w:tc>
          <w:tcPr>
            <w:tcW w:w="1845"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3</w:t>
            </w:r>
          </w:p>
        </w:tc>
        <w:tc>
          <w:tcPr>
            <w:tcW w:w="1815"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4</w:t>
            </w:r>
          </w:p>
        </w:tc>
        <w:tc>
          <w:tcPr>
            <w:tcW w:w="1665"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5</w:t>
            </w:r>
          </w:p>
        </w:tc>
        <w:tc>
          <w:tcPr>
            <w:tcW w:w="2310"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6</w:t>
            </w:r>
          </w:p>
        </w:tc>
      </w:tr>
      <w:tr>
        <w:tblPrEx>
          <w:tblCellMar>
            <w:top w:w="0" w:type="dxa"/>
            <w:left w:w="108" w:type="dxa"/>
            <w:bottom w:w="0" w:type="dxa"/>
            <w:right w:w="108" w:type="dxa"/>
          </w:tblCellMar>
        </w:tblPrEx>
        <w:trPr>
          <w:trHeight w:val="450" w:hRule="atLeast"/>
        </w:trPr>
        <w:tc>
          <w:tcPr>
            <w:tcW w:w="4092" w:type="dxa"/>
            <w:gridSpan w:val="6"/>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kern w:val="0"/>
                <w:sz w:val="24"/>
                <w:szCs w:val="24"/>
              </w:rPr>
              <w:t>合计</w:t>
            </w:r>
          </w:p>
        </w:tc>
        <w:tc>
          <w:tcPr>
            <w:tcW w:w="178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i w:val="0"/>
                <w:color w:val="auto"/>
                <w:kern w:val="0"/>
                <w:sz w:val="24"/>
                <w:szCs w:val="24"/>
                <w:u w:val="none"/>
                <w:lang w:val="en-US" w:eastAsia="zh-CN" w:bidi="ar"/>
              </w:rPr>
              <w:t>279.24</w:t>
            </w:r>
          </w:p>
        </w:tc>
        <w:tc>
          <w:tcPr>
            <w:tcW w:w="187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i w:val="0"/>
                <w:color w:val="auto"/>
                <w:kern w:val="0"/>
                <w:sz w:val="24"/>
                <w:szCs w:val="24"/>
                <w:u w:val="none"/>
                <w:lang w:val="en-US" w:eastAsia="zh-CN" w:bidi="ar"/>
              </w:rPr>
              <w:t>131.84</w:t>
            </w:r>
          </w:p>
        </w:tc>
        <w:tc>
          <w:tcPr>
            <w:tcW w:w="184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kern w:val="0"/>
                <w:sz w:val="24"/>
                <w:szCs w:val="24"/>
                <w:lang w:val="en-US"/>
              </w:rPr>
            </w:pPr>
            <w:r>
              <w:rPr>
                <w:rFonts w:hint="default" w:ascii="Times New Roman" w:hAnsi="Times New Roman" w:eastAsia="宋体" w:cs="Times New Roman"/>
                <w:b/>
                <w:bCs/>
                <w:i w:val="0"/>
                <w:color w:val="auto"/>
                <w:kern w:val="0"/>
                <w:sz w:val="24"/>
                <w:szCs w:val="24"/>
                <w:u w:val="none"/>
                <w:lang w:val="en-US" w:eastAsia="zh-CN" w:bidi="ar"/>
              </w:rPr>
              <w:t>147.40</w:t>
            </w:r>
          </w:p>
        </w:tc>
        <w:tc>
          <w:tcPr>
            <w:tcW w:w="181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kern w:val="0"/>
                <w:sz w:val="24"/>
                <w:szCs w:val="24"/>
              </w:rPr>
              <w:t>　</w:t>
            </w:r>
          </w:p>
        </w:tc>
        <w:tc>
          <w:tcPr>
            <w:tcW w:w="166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310"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sz w:val="24"/>
                <w:szCs w:val="24"/>
              </w:rPr>
              <w:t>206</w:t>
            </w:r>
          </w:p>
        </w:tc>
        <w:tc>
          <w:tcPr>
            <w:tcW w:w="2925"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sz w:val="24"/>
                <w:szCs w:val="24"/>
              </w:rPr>
              <w:t>科学技术支出</w:t>
            </w:r>
          </w:p>
        </w:tc>
        <w:tc>
          <w:tcPr>
            <w:tcW w:w="178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kern w:val="0"/>
                <w:sz w:val="24"/>
                <w:szCs w:val="24"/>
                <w:lang w:val="en-US"/>
              </w:rPr>
            </w:pPr>
            <w:r>
              <w:rPr>
                <w:rFonts w:hint="default" w:ascii="Times New Roman" w:hAnsi="Times New Roman" w:eastAsia="宋体" w:cs="Times New Roman"/>
                <w:b/>
                <w:bCs/>
                <w:i w:val="0"/>
                <w:color w:val="auto"/>
                <w:kern w:val="0"/>
                <w:sz w:val="24"/>
                <w:szCs w:val="24"/>
                <w:u w:val="none"/>
                <w:lang w:val="en-US" w:eastAsia="zh-CN" w:bidi="ar"/>
              </w:rPr>
              <w:t>242.58</w:t>
            </w:r>
          </w:p>
        </w:tc>
        <w:tc>
          <w:tcPr>
            <w:tcW w:w="187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i w:val="0"/>
                <w:color w:val="auto"/>
                <w:kern w:val="0"/>
                <w:sz w:val="24"/>
                <w:szCs w:val="24"/>
                <w:u w:val="none"/>
                <w:lang w:val="en-US" w:eastAsia="zh-CN" w:bidi="ar"/>
              </w:rPr>
              <w:t>95.18</w:t>
            </w:r>
          </w:p>
        </w:tc>
        <w:tc>
          <w:tcPr>
            <w:tcW w:w="184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kern w:val="0"/>
                <w:sz w:val="24"/>
                <w:szCs w:val="24"/>
                <w:lang w:val="en-US"/>
              </w:rPr>
            </w:pPr>
            <w:r>
              <w:rPr>
                <w:rFonts w:hint="default" w:ascii="Times New Roman" w:hAnsi="Times New Roman" w:eastAsia="宋体" w:cs="Times New Roman"/>
                <w:b/>
                <w:bCs/>
                <w:i w:val="0"/>
                <w:color w:val="auto"/>
                <w:kern w:val="0"/>
                <w:sz w:val="24"/>
                <w:szCs w:val="24"/>
                <w:u w:val="none"/>
                <w:lang w:val="en-US" w:eastAsia="zh-CN" w:bidi="ar"/>
              </w:rPr>
              <w:t>147.40</w:t>
            </w:r>
          </w:p>
        </w:tc>
        <w:tc>
          <w:tcPr>
            <w:tcW w:w="181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66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310"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sz w:val="24"/>
                <w:szCs w:val="24"/>
              </w:rPr>
              <w:t>20603</w:t>
            </w:r>
          </w:p>
        </w:tc>
        <w:tc>
          <w:tcPr>
            <w:tcW w:w="2925"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sz w:val="24"/>
                <w:szCs w:val="24"/>
              </w:rPr>
              <w:t>应用研究</w:t>
            </w:r>
          </w:p>
        </w:tc>
        <w:tc>
          <w:tcPr>
            <w:tcW w:w="178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i w:val="0"/>
                <w:color w:val="auto"/>
                <w:kern w:val="0"/>
                <w:sz w:val="24"/>
                <w:szCs w:val="24"/>
                <w:u w:val="none"/>
                <w:lang w:val="en-US" w:eastAsia="zh-CN" w:bidi="ar"/>
              </w:rPr>
              <w:t>201.93</w:t>
            </w:r>
          </w:p>
        </w:tc>
        <w:tc>
          <w:tcPr>
            <w:tcW w:w="187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i w:val="0"/>
                <w:color w:val="auto"/>
                <w:kern w:val="0"/>
                <w:sz w:val="24"/>
                <w:szCs w:val="24"/>
                <w:u w:val="none"/>
                <w:lang w:val="en-US" w:eastAsia="zh-CN" w:bidi="ar"/>
              </w:rPr>
              <w:t>95.18</w:t>
            </w:r>
          </w:p>
        </w:tc>
        <w:tc>
          <w:tcPr>
            <w:tcW w:w="184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i w:val="0"/>
                <w:color w:val="auto"/>
                <w:kern w:val="0"/>
                <w:sz w:val="24"/>
                <w:szCs w:val="24"/>
                <w:u w:val="none"/>
                <w:lang w:val="en-US" w:eastAsia="zh-CN" w:bidi="ar"/>
              </w:rPr>
              <w:t>106.75</w:t>
            </w:r>
          </w:p>
        </w:tc>
        <w:tc>
          <w:tcPr>
            <w:tcW w:w="181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66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310"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val="0"/>
                <w:bCs w:val="0"/>
                <w:color w:val="auto"/>
                <w:kern w:val="0"/>
                <w:sz w:val="24"/>
                <w:szCs w:val="24"/>
              </w:rPr>
            </w:pPr>
            <w:r>
              <w:rPr>
                <w:rFonts w:hint="default" w:ascii="Times New Roman" w:hAnsi="Times New Roman" w:eastAsia="宋体" w:cs="Times New Roman"/>
                <w:b w:val="0"/>
                <w:bCs w:val="0"/>
                <w:color w:val="auto"/>
                <w:sz w:val="24"/>
                <w:szCs w:val="24"/>
              </w:rPr>
              <w:t>2060301</w:t>
            </w:r>
          </w:p>
        </w:tc>
        <w:tc>
          <w:tcPr>
            <w:tcW w:w="2925"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val="0"/>
                <w:bCs w:val="0"/>
                <w:color w:val="auto"/>
                <w:kern w:val="0"/>
                <w:sz w:val="24"/>
                <w:szCs w:val="24"/>
              </w:rPr>
            </w:pPr>
            <w:r>
              <w:rPr>
                <w:rFonts w:hint="default" w:ascii="Times New Roman" w:hAnsi="Times New Roman" w:eastAsia="宋体" w:cs="Times New Roman"/>
                <w:b w:val="0"/>
                <w:bCs w:val="0"/>
                <w:i w:val="0"/>
                <w:color w:val="auto"/>
                <w:kern w:val="0"/>
                <w:sz w:val="24"/>
                <w:szCs w:val="24"/>
                <w:u w:val="none"/>
                <w:lang w:val="en-US" w:eastAsia="zh-CN" w:bidi="ar"/>
              </w:rPr>
              <w:t>机构运行</w:t>
            </w:r>
          </w:p>
        </w:tc>
        <w:tc>
          <w:tcPr>
            <w:tcW w:w="178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val="0"/>
                <w:bCs w:val="0"/>
                <w:color w:val="auto"/>
                <w:kern w:val="0"/>
                <w:sz w:val="24"/>
                <w:szCs w:val="24"/>
              </w:rPr>
            </w:pPr>
            <w:r>
              <w:rPr>
                <w:rFonts w:hint="default" w:ascii="Times New Roman" w:hAnsi="Times New Roman" w:eastAsia="宋体" w:cs="Times New Roman"/>
                <w:b w:val="0"/>
                <w:bCs w:val="0"/>
                <w:i w:val="0"/>
                <w:color w:val="auto"/>
                <w:kern w:val="0"/>
                <w:sz w:val="24"/>
                <w:szCs w:val="24"/>
                <w:u w:val="none"/>
                <w:lang w:val="en-US" w:eastAsia="zh-CN" w:bidi="ar"/>
              </w:rPr>
              <w:t>95.18</w:t>
            </w:r>
          </w:p>
        </w:tc>
        <w:tc>
          <w:tcPr>
            <w:tcW w:w="187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val="0"/>
                <w:bCs w:val="0"/>
                <w:color w:val="auto"/>
                <w:kern w:val="0"/>
                <w:sz w:val="24"/>
                <w:szCs w:val="24"/>
              </w:rPr>
            </w:pPr>
            <w:r>
              <w:rPr>
                <w:rFonts w:hint="default" w:ascii="Times New Roman" w:hAnsi="Times New Roman" w:eastAsia="宋体" w:cs="Times New Roman"/>
                <w:b w:val="0"/>
                <w:bCs w:val="0"/>
                <w:i w:val="0"/>
                <w:color w:val="auto"/>
                <w:kern w:val="0"/>
                <w:sz w:val="24"/>
                <w:szCs w:val="24"/>
                <w:u w:val="none"/>
                <w:lang w:val="en-US" w:eastAsia="zh-CN" w:bidi="ar"/>
              </w:rPr>
              <w:t>95.18</w:t>
            </w:r>
          </w:p>
        </w:tc>
        <w:tc>
          <w:tcPr>
            <w:tcW w:w="184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val="0"/>
                <w:bCs w:val="0"/>
                <w:color w:val="auto"/>
                <w:kern w:val="0"/>
                <w:sz w:val="24"/>
                <w:szCs w:val="24"/>
              </w:rPr>
            </w:pPr>
            <w:r>
              <w:rPr>
                <w:rFonts w:hint="default" w:ascii="Times New Roman" w:hAnsi="Times New Roman" w:eastAsia="宋体" w:cs="Times New Roman"/>
                <w:b w:val="0"/>
                <w:bCs w:val="0"/>
                <w:i w:val="0"/>
                <w:color w:val="auto"/>
                <w:kern w:val="0"/>
                <w:sz w:val="24"/>
                <w:szCs w:val="24"/>
                <w:u w:val="none"/>
                <w:lang w:val="en-US" w:eastAsia="zh-CN" w:bidi="ar"/>
              </w:rPr>
              <w:t>0.00</w:t>
            </w:r>
          </w:p>
        </w:tc>
        <w:tc>
          <w:tcPr>
            <w:tcW w:w="181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val="0"/>
                <w:bCs w:val="0"/>
                <w:color w:val="auto"/>
                <w:kern w:val="0"/>
                <w:sz w:val="24"/>
                <w:szCs w:val="24"/>
              </w:rPr>
            </w:pPr>
            <w:r>
              <w:rPr>
                <w:rFonts w:hint="default" w:ascii="Times New Roman" w:hAnsi="Times New Roman" w:eastAsia="宋体" w:cs="Times New Roman"/>
                <w:b w:val="0"/>
                <w:bCs w:val="0"/>
                <w:color w:val="auto"/>
                <w:kern w:val="0"/>
                <w:sz w:val="24"/>
                <w:szCs w:val="24"/>
              </w:rPr>
              <w:t>　</w:t>
            </w:r>
          </w:p>
        </w:tc>
        <w:tc>
          <w:tcPr>
            <w:tcW w:w="166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val="0"/>
                <w:bCs w:val="0"/>
                <w:color w:val="auto"/>
                <w:kern w:val="0"/>
                <w:sz w:val="24"/>
                <w:szCs w:val="24"/>
              </w:rPr>
            </w:pPr>
            <w:r>
              <w:rPr>
                <w:rFonts w:hint="default" w:ascii="Times New Roman" w:hAnsi="Times New Roman" w:eastAsia="宋体" w:cs="Times New Roman"/>
                <w:b w:val="0"/>
                <w:bCs w:val="0"/>
                <w:color w:val="auto"/>
                <w:kern w:val="0"/>
                <w:sz w:val="24"/>
                <w:szCs w:val="24"/>
              </w:rPr>
              <w:t>　</w:t>
            </w:r>
          </w:p>
        </w:tc>
        <w:tc>
          <w:tcPr>
            <w:tcW w:w="2310"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val="0"/>
                <w:bCs w:val="0"/>
                <w:color w:val="auto"/>
                <w:kern w:val="0"/>
                <w:sz w:val="24"/>
                <w:szCs w:val="24"/>
              </w:rPr>
            </w:pPr>
            <w:r>
              <w:rPr>
                <w:rFonts w:hint="default" w:ascii="Times New Roman" w:hAnsi="Times New Roman" w:eastAsia="宋体" w:cs="Times New Roman"/>
                <w:b w:val="0"/>
                <w:bCs w:val="0"/>
                <w:color w:val="auto"/>
                <w:kern w:val="0"/>
                <w:sz w:val="24"/>
                <w:szCs w:val="24"/>
              </w:rPr>
              <w:t>　</w:t>
            </w:r>
          </w:p>
        </w:tc>
      </w:tr>
      <w:tr>
        <w:tblPrEx>
          <w:tblCellMar>
            <w:top w:w="0" w:type="dxa"/>
            <w:left w:w="108" w:type="dxa"/>
            <w:bottom w:w="0" w:type="dxa"/>
            <w:right w:w="108"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sz w:val="24"/>
                <w:szCs w:val="24"/>
              </w:rPr>
              <w:t>2060302</w:t>
            </w:r>
          </w:p>
        </w:tc>
        <w:tc>
          <w:tcPr>
            <w:tcW w:w="2925"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i w:val="0"/>
                <w:color w:val="auto"/>
                <w:kern w:val="0"/>
                <w:sz w:val="24"/>
                <w:szCs w:val="24"/>
                <w:u w:val="none"/>
                <w:lang w:val="en-US" w:eastAsia="zh-CN" w:bidi="ar"/>
              </w:rPr>
              <w:t>社会公益研究</w:t>
            </w:r>
          </w:p>
        </w:tc>
        <w:tc>
          <w:tcPr>
            <w:tcW w:w="178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i w:val="0"/>
                <w:color w:val="auto"/>
                <w:kern w:val="0"/>
                <w:sz w:val="24"/>
                <w:szCs w:val="24"/>
                <w:u w:val="none"/>
                <w:lang w:val="en-US" w:eastAsia="zh-CN" w:bidi="ar"/>
              </w:rPr>
              <w:t>106.75</w:t>
            </w:r>
          </w:p>
        </w:tc>
        <w:tc>
          <w:tcPr>
            <w:tcW w:w="187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i w:val="0"/>
                <w:color w:val="auto"/>
                <w:kern w:val="0"/>
                <w:sz w:val="24"/>
                <w:szCs w:val="24"/>
                <w:u w:val="none"/>
                <w:lang w:val="en-US" w:eastAsia="zh-CN" w:bidi="ar"/>
              </w:rPr>
              <w:t>0.00</w:t>
            </w:r>
          </w:p>
        </w:tc>
        <w:tc>
          <w:tcPr>
            <w:tcW w:w="184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i w:val="0"/>
                <w:color w:val="auto"/>
                <w:kern w:val="0"/>
                <w:sz w:val="24"/>
                <w:szCs w:val="24"/>
                <w:u w:val="none"/>
                <w:lang w:val="en-US" w:eastAsia="zh-CN" w:bidi="ar"/>
              </w:rPr>
              <w:t>106.75</w:t>
            </w:r>
          </w:p>
        </w:tc>
        <w:tc>
          <w:tcPr>
            <w:tcW w:w="181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66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310"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20605</w:t>
            </w:r>
          </w:p>
        </w:tc>
        <w:tc>
          <w:tcPr>
            <w:tcW w:w="2925"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科技条件与服务</w:t>
            </w:r>
          </w:p>
        </w:tc>
        <w:tc>
          <w:tcPr>
            <w:tcW w:w="178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i w:val="0"/>
                <w:color w:val="auto"/>
                <w:kern w:val="0"/>
                <w:sz w:val="24"/>
                <w:szCs w:val="24"/>
                <w:u w:val="none"/>
                <w:lang w:val="en-US" w:eastAsia="zh-CN" w:bidi="ar"/>
              </w:rPr>
              <w:t>40.65</w:t>
            </w:r>
          </w:p>
        </w:tc>
        <w:tc>
          <w:tcPr>
            <w:tcW w:w="187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i w:val="0"/>
                <w:color w:val="auto"/>
                <w:kern w:val="0"/>
                <w:sz w:val="24"/>
                <w:szCs w:val="24"/>
                <w:u w:val="none"/>
                <w:lang w:val="en-US" w:eastAsia="zh-CN" w:bidi="ar"/>
              </w:rPr>
            </w:pPr>
            <w:r>
              <w:rPr>
                <w:rFonts w:hint="default" w:ascii="Times New Roman" w:hAnsi="Times New Roman" w:eastAsia="宋体" w:cs="Times New Roman"/>
                <w:b/>
                <w:bCs/>
                <w:i w:val="0"/>
                <w:color w:val="auto"/>
                <w:kern w:val="0"/>
                <w:sz w:val="24"/>
                <w:szCs w:val="24"/>
                <w:u w:val="none"/>
                <w:lang w:val="en-US" w:eastAsia="zh-CN" w:bidi="ar"/>
              </w:rPr>
              <w:t>0.00</w:t>
            </w:r>
          </w:p>
        </w:tc>
        <w:tc>
          <w:tcPr>
            <w:tcW w:w="184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kern w:val="0"/>
                <w:sz w:val="24"/>
                <w:szCs w:val="24"/>
                <w:lang w:val="en-US"/>
              </w:rPr>
            </w:pPr>
            <w:r>
              <w:rPr>
                <w:rFonts w:hint="default" w:ascii="Times New Roman" w:hAnsi="Times New Roman" w:eastAsia="宋体" w:cs="Times New Roman"/>
                <w:b/>
                <w:bCs/>
                <w:i w:val="0"/>
                <w:color w:val="auto"/>
                <w:kern w:val="0"/>
                <w:sz w:val="24"/>
                <w:szCs w:val="24"/>
                <w:u w:val="none"/>
                <w:lang w:val="en-US" w:eastAsia="zh-CN" w:bidi="ar"/>
              </w:rPr>
              <w:t>40.65</w:t>
            </w:r>
          </w:p>
        </w:tc>
        <w:tc>
          <w:tcPr>
            <w:tcW w:w="181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66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2310"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2060599</w:t>
            </w:r>
          </w:p>
        </w:tc>
        <w:tc>
          <w:tcPr>
            <w:tcW w:w="2925"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i w:val="0"/>
                <w:color w:val="auto"/>
                <w:kern w:val="0"/>
                <w:sz w:val="24"/>
                <w:szCs w:val="24"/>
                <w:u w:val="none"/>
                <w:lang w:val="en-US" w:eastAsia="zh-CN" w:bidi="ar"/>
              </w:rPr>
              <w:t>其他科技条件与服务支出</w:t>
            </w:r>
          </w:p>
        </w:tc>
        <w:tc>
          <w:tcPr>
            <w:tcW w:w="178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i w:val="0"/>
                <w:color w:val="auto"/>
                <w:kern w:val="0"/>
                <w:sz w:val="24"/>
                <w:szCs w:val="24"/>
                <w:u w:val="none"/>
                <w:lang w:val="en-US" w:eastAsia="zh-CN" w:bidi="ar"/>
              </w:rPr>
              <w:t>40.65</w:t>
            </w:r>
          </w:p>
        </w:tc>
        <w:tc>
          <w:tcPr>
            <w:tcW w:w="187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i w:val="0"/>
                <w:color w:val="auto"/>
                <w:kern w:val="0"/>
                <w:sz w:val="24"/>
                <w:szCs w:val="24"/>
                <w:u w:val="none"/>
                <w:lang w:val="en-US" w:eastAsia="zh-CN" w:bidi="ar"/>
              </w:rPr>
              <w:t>0.00</w:t>
            </w:r>
          </w:p>
        </w:tc>
        <w:tc>
          <w:tcPr>
            <w:tcW w:w="184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lang w:val="en-US"/>
              </w:rPr>
            </w:pPr>
            <w:r>
              <w:rPr>
                <w:rFonts w:hint="default" w:ascii="Times New Roman" w:hAnsi="Times New Roman" w:eastAsia="宋体" w:cs="Times New Roman"/>
                <w:i w:val="0"/>
                <w:color w:val="auto"/>
                <w:kern w:val="0"/>
                <w:sz w:val="24"/>
                <w:szCs w:val="24"/>
                <w:u w:val="none"/>
                <w:lang w:val="en-US" w:eastAsia="zh-CN" w:bidi="ar"/>
              </w:rPr>
              <w:t>40.65</w:t>
            </w:r>
          </w:p>
        </w:tc>
        <w:tc>
          <w:tcPr>
            <w:tcW w:w="181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66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2310"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sz w:val="24"/>
                <w:szCs w:val="24"/>
              </w:rPr>
              <w:t>208</w:t>
            </w:r>
          </w:p>
        </w:tc>
        <w:tc>
          <w:tcPr>
            <w:tcW w:w="2925"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社会保障和就业支出</w:t>
            </w:r>
          </w:p>
        </w:tc>
        <w:tc>
          <w:tcPr>
            <w:tcW w:w="178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i w:val="0"/>
                <w:color w:val="auto"/>
                <w:kern w:val="0"/>
                <w:sz w:val="24"/>
                <w:szCs w:val="24"/>
                <w:u w:val="none"/>
                <w:lang w:val="en-US" w:eastAsia="zh-CN" w:bidi="ar"/>
              </w:rPr>
              <w:t>14.04</w:t>
            </w:r>
          </w:p>
        </w:tc>
        <w:tc>
          <w:tcPr>
            <w:tcW w:w="187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i w:val="0"/>
                <w:color w:val="auto"/>
                <w:kern w:val="0"/>
                <w:sz w:val="24"/>
                <w:szCs w:val="24"/>
                <w:u w:val="none"/>
                <w:lang w:val="en-US" w:eastAsia="zh-CN" w:bidi="ar"/>
              </w:rPr>
              <w:t>14.04</w:t>
            </w:r>
          </w:p>
        </w:tc>
        <w:tc>
          <w:tcPr>
            <w:tcW w:w="184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i w:val="0"/>
                <w:color w:val="auto"/>
                <w:kern w:val="0"/>
                <w:sz w:val="24"/>
                <w:szCs w:val="24"/>
                <w:u w:val="none"/>
                <w:lang w:val="en-US" w:eastAsia="zh-CN" w:bidi="ar"/>
              </w:rPr>
              <w:t>0.00</w:t>
            </w:r>
          </w:p>
        </w:tc>
        <w:tc>
          <w:tcPr>
            <w:tcW w:w="181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66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2310"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sz w:val="24"/>
                <w:szCs w:val="24"/>
                <w:lang w:val="en-US" w:eastAsia="zh-CN"/>
              </w:rPr>
              <w:t>20805</w:t>
            </w:r>
          </w:p>
        </w:tc>
        <w:tc>
          <w:tcPr>
            <w:tcW w:w="2925"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i w:val="0"/>
                <w:color w:val="auto"/>
                <w:kern w:val="0"/>
                <w:sz w:val="24"/>
                <w:szCs w:val="24"/>
                <w:u w:val="none"/>
                <w:lang w:val="en-US" w:eastAsia="zh-CN" w:bidi="ar"/>
              </w:rPr>
              <w:t>行政事业单位养老支出</w:t>
            </w:r>
          </w:p>
        </w:tc>
        <w:tc>
          <w:tcPr>
            <w:tcW w:w="178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b/>
                <w:i w:val="0"/>
                <w:color w:val="auto"/>
                <w:kern w:val="0"/>
                <w:sz w:val="24"/>
                <w:szCs w:val="24"/>
                <w:u w:val="none"/>
                <w:lang w:val="en-US" w:eastAsia="zh-CN" w:bidi="ar"/>
              </w:rPr>
              <w:t>14.04</w:t>
            </w:r>
          </w:p>
        </w:tc>
        <w:tc>
          <w:tcPr>
            <w:tcW w:w="187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b/>
                <w:i w:val="0"/>
                <w:color w:val="auto"/>
                <w:kern w:val="0"/>
                <w:sz w:val="24"/>
                <w:szCs w:val="24"/>
                <w:u w:val="none"/>
                <w:lang w:val="en-US" w:eastAsia="zh-CN" w:bidi="ar"/>
              </w:rPr>
              <w:t>14.04</w:t>
            </w:r>
          </w:p>
        </w:tc>
        <w:tc>
          <w:tcPr>
            <w:tcW w:w="184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b/>
                <w:i w:val="0"/>
                <w:color w:val="auto"/>
                <w:kern w:val="0"/>
                <w:sz w:val="24"/>
                <w:szCs w:val="24"/>
                <w:u w:val="none"/>
                <w:lang w:val="en-US" w:eastAsia="zh-CN" w:bidi="ar"/>
              </w:rPr>
              <w:t>0.00</w:t>
            </w:r>
          </w:p>
        </w:tc>
        <w:tc>
          <w:tcPr>
            <w:tcW w:w="181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66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2310"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sz w:val="24"/>
                <w:szCs w:val="24"/>
              </w:rPr>
              <w:t>2080505</w:t>
            </w:r>
          </w:p>
        </w:tc>
        <w:tc>
          <w:tcPr>
            <w:tcW w:w="2925"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i w:val="0"/>
                <w:color w:val="auto"/>
                <w:kern w:val="0"/>
                <w:sz w:val="24"/>
                <w:szCs w:val="24"/>
                <w:u w:val="none"/>
                <w:lang w:val="en-US" w:eastAsia="zh-CN" w:bidi="ar"/>
              </w:rPr>
              <w:t>机关事业单位基本养老保险缴费支出</w:t>
            </w:r>
          </w:p>
        </w:tc>
        <w:tc>
          <w:tcPr>
            <w:tcW w:w="178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i w:val="0"/>
                <w:color w:val="auto"/>
                <w:kern w:val="0"/>
                <w:sz w:val="24"/>
                <w:szCs w:val="24"/>
                <w:u w:val="none"/>
                <w:lang w:val="en-US" w:eastAsia="zh-CN" w:bidi="ar"/>
              </w:rPr>
              <w:t>14.04</w:t>
            </w:r>
          </w:p>
        </w:tc>
        <w:tc>
          <w:tcPr>
            <w:tcW w:w="187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i w:val="0"/>
                <w:color w:val="auto"/>
                <w:kern w:val="0"/>
                <w:sz w:val="24"/>
                <w:szCs w:val="24"/>
                <w:u w:val="none"/>
                <w:lang w:val="en-US" w:eastAsia="zh-CN" w:bidi="ar"/>
              </w:rPr>
              <w:t>14.04</w:t>
            </w:r>
          </w:p>
        </w:tc>
        <w:tc>
          <w:tcPr>
            <w:tcW w:w="184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i w:val="0"/>
                <w:color w:val="auto"/>
                <w:kern w:val="0"/>
                <w:sz w:val="24"/>
                <w:szCs w:val="24"/>
                <w:u w:val="none"/>
                <w:lang w:val="en-US" w:eastAsia="zh-CN" w:bidi="ar"/>
              </w:rPr>
              <w:t>0.00</w:t>
            </w:r>
          </w:p>
        </w:tc>
        <w:tc>
          <w:tcPr>
            <w:tcW w:w="181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66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2310"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sz w:val="24"/>
                <w:szCs w:val="24"/>
                <w:lang w:val="en-US" w:eastAsia="zh-CN"/>
              </w:rPr>
              <w:t>221</w:t>
            </w:r>
          </w:p>
        </w:tc>
        <w:tc>
          <w:tcPr>
            <w:tcW w:w="2925"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住房保障支出</w:t>
            </w:r>
          </w:p>
        </w:tc>
        <w:tc>
          <w:tcPr>
            <w:tcW w:w="178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i w:val="0"/>
                <w:color w:val="auto"/>
                <w:kern w:val="0"/>
                <w:sz w:val="24"/>
                <w:szCs w:val="24"/>
                <w:u w:val="none"/>
                <w:lang w:val="en-US" w:eastAsia="zh-CN" w:bidi="ar"/>
              </w:rPr>
              <w:t>22.62</w:t>
            </w:r>
          </w:p>
        </w:tc>
        <w:tc>
          <w:tcPr>
            <w:tcW w:w="187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i w:val="0"/>
                <w:color w:val="auto"/>
                <w:kern w:val="0"/>
                <w:sz w:val="24"/>
                <w:szCs w:val="24"/>
                <w:u w:val="none"/>
                <w:lang w:val="en-US" w:eastAsia="zh-CN" w:bidi="ar"/>
              </w:rPr>
              <w:t>22.62</w:t>
            </w:r>
          </w:p>
        </w:tc>
        <w:tc>
          <w:tcPr>
            <w:tcW w:w="184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i w:val="0"/>
                <w:color w:val="auto"/>
                <w:kern w:val="0"/>
                <w:sz w:val="24"/>
                <w:szCs w:val="24"/>
                <w:u w:val="none"/>
                <w:lang w:val="en-US" w:eastAsia="zh-CN" w:bidi="ar"/>
              </w:rPr>
              <w:t>0.00</w:t>
            </w:r>
          </w:p>
        </w:tc>
        <w:tc>
          <w:tcPr>
            <w:tcW w:w="181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66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2310"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sz w:val="24"/>
                <w:szCs w:val="24"/>
                <w:lang w:val="en-US" w:eastAsia="zh-CN"/>
              </w:rPr>
              <w:t>22102</w:t>
            </w:r>
          </w:p>
        </w:tc>
        <w:tc>
          <w:tcPr>
            <w:tcW w:w="2925"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住房改革支出</w:t>
            </w:r>
          </w:p>
        </w:tc>
        <w:tc>
          <w:tcPr>
            <w:tcW w:w="178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i w:val="0"/>
                <w:color w:val="auto"/>
                <w:kern w:val="0"/>
                <w:sz w:val="24"/>
                <w:szCs w:val="24"/>
                <w:u w:val="none"/>
                <w:lang w:val="en-US" w:eastAsia="zh-CN" w:bidi="ar"/>
              </w:rPr>
              <w:t>22.62</w:t>
            </w:r>
          </w:p>
        </w:tc>
        <w:tc>
          <w:tcPr>
            <w:tcW w:w="187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i w:val="0"/>
                <w:color w:val="auto"/>
                <w:kern w:val="0"/>
                <w:sz w:val="24"/>
                <w:szCs w:val="24"/>
                <w:u w:val="none"/>
                <w:lang w:val="en-US" w:eastAsia="zh-CN" w:bidi="ar"/>
              </w:rPr>
              <w:t>22.62</w:t>
            </w:r>
          </w:p>
        </w:tc>
        <w:tc>
          <w:tcPr>
            <w:tcW w:w="184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i w:val="0"/>
                <w:color w:val="auto"/>
                <w:kern w:val="0"/>
                <w:sz w:val="24"/>
                <w:szCs w:val="24"/>
                <w:u w:val="none"/>
                <w:lang w:val="en-US" w:eastAsia="zh-CN" w:bidi="ar"/>
              </w:rPr>
              <w:t>0.00</w:t>
            </w:r>
          </w:p>
        </w:tc>
        <w:tc>
          <w:tcPr>
            <w:tcW w:w="181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66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2310"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sz w:val="24"/>
                <w:szCs w:val="24"/>
                <w:lang w:val="en-US" w:eastAsia="zh-CN"/>
              </w:rPr>
              <w:t>2210201</w:t>
            </w:r>
          </w:p>
        </w:tc>
        <w:tc>
          <w:tcPr>
            <w:tcW w:w="2925"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i w:val="0"/>
                <w:color w:val="auto"/>
                <w:kern w:val="0"/>
                <w:sz w:val="24"/>
                <w:szCs w:val="24"/>
                <w:u w:val="none"/>
                <w:lang w:val="en-US" w:eastAsia="zh-CN" w:bidi="ar"/>
              </w:rPr>
              <w:t>住房公积金</w:t>
            </w:r>
          </w:p>
        </w:tc>
        <w:tc>
          <w:tcPr>
            <w:tcW w:w="178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i w:val="0"/>
                <w:color w:val="auto"/>
                <w:kern w:val="0"/>
                <w:sz w:val="24"/>
                <w:szCs w:val="24"/>
                <w:u w:val="none"/>
                <w:lang w:val="en-US" w:eastAsia="zh-CN" w:bidi="ar"/>
              </w:rPr>
              <w:t>14.93</w:t>
            </w:r>
          </w:p>
        </w:tc>
        <w:tc>
          <w:tcPr>
            <w:tcW w:w="187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i w:val="0"/>
                <w:color w:val="auto"/>
                <w:kern w:val="0"/>
                <w:sz w:val="24"/>
                <w:szCs w:val="24"/>
                <w:u w:val="none"/>
                <w:lang w:val="en-US" w:eastAsia="zh-CN" w:bidi="ar"/>
              </w:rPr>
              <w:t>14.93</w:t>
            </w:r>
          </w:p>
        </w:tc>
        <w:tc>
          <w:tcPr>
            <w:tcW w:w="184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i w:val="0"/>
                <w:color w:val="auto"/>
                <w:kern w:val="0"/>
                <w:sz w:val="24"/>
                <w:szCs w:val="24"/>
                <w:u w:val="none"/>
                <w:lang w:val="en-US" w:eastAsia="zh-CN" w:bidi="ar"/>
              </w:rPr>
              <w:t>0.00</w:t>
            </w:r>
          </w:p>
        </w:tc>
        <w:tc>
          <w:tcPr>
            <w:tcW w:w="181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66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2310"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50" w:hRule="atLeast"/>
        </w:trPr>
        <w:tc>
          <w:tcPr>
            <w:tcW w:w="1167"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sz w:val="24"/>
                <w:szCs w:val="24"/>
                <w:lang w:val="en-US" w:eastAsia="zh-CN"/>
              </w:rPr>
              <w:t>2210203</w:t>
            </w:r>
          </w:p>
        </w:tc>
        <w:tc>
          <w:tcPr>
            <w:tcW w:w="2925" w:type="dxa"/>
            <w:gridSpan w:val="3"/>
            <w:tcBorders>
              <w:top w:val="nil"/>
              <w:left w:val="nil"/>
              <w:bottom w:val="single" w:color="auto" w:sz="4" w:space="0"/>
              <w:right w:val="single" w:color="auto"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i w:val="0"/>
                <w:color w:val="auto"/>
                <w:kern w:val="0"/>
                <w:sz w:val="24"/>
                <w:szCs w:val="24"/>
                <w:u w:val="none"/>
                <w:lang w:val="en-US" w:eastAsia="zh-CN" w:bidi="ar"/>
              </w:rPr>
              <w:t>购房补贴</w:t>
            </w:r>
          </w:p>
        </w:tc>
        <w:tc>
          <w:tcPr>
            <w:tcW w:w="178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i w:val="0"/>
                <w:color w:val="auto"/>
                <w:kern w:val="0"/>
                <w:sz w:val="24"/>
                <w:szCs w:val="24"/>
                <w:u w:val="none"/>
                <w:lang w:val="en-US" w:eastAsia="zh-CN" w:bidi="ar"/>
              </w:rPr>
              <w:t>7.69</w:t>
            </w:r>
          </w:p>
        </w:tc>
        <w:tc>
          <w:tcPr>
            <w:tcW w:w="187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i w:val="0"/>
                <w:color w:val="auto"/>
                <w:kern w:val="0"/>
                <w:sz w:val="24"/>
                <w:szCs w:val="24"/>
                <w:u w:val="none"/>
                <w:lang w:val="en-US" w:eastAsia="zh-CN" w:bidi="ar"/>
              </w:rPr>
              <w:t>7.69</w:t>
            </w:r>
          </w:p>
        </w:tc>
        <w:tc>
          <w:tcPr>
            <w:tcW w:w="184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i w:val="0"/>
                <w:color w:val="auto"/>
                <w:kern w:val="0"/>
                <w:sz w:val="24"/>
                <w:szCs w:val="24"/>
                <w:u w:val="none"/>
                <w:lang w:val="en-US" w:eastAsia="zh-CN" w:bidi="ar"/>
              </w:rPr>
              <w:t>0.00</w:t>
            </w:r>
          </w:p>
        </w:tc>
        <w:tc>
          <w:tcPr>
            <w:tcW w:w="181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665"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2310" w:type="dxa"/>
            <w:gridSpan w:val="3"/>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630" w:hRule="atLeast"/>
        </w:trPr>
        <w:tc>
          <w:tcPr>
            <w:tcW w:w="15387" w:type="dxa"/>
            <w:gridSpan w:val="24"/>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注：本表反映部门本年度各项支出情况。</w:t>
            </w:r>
          </w:p>
        </w:tc>
      </w:tr>
    </w:tbl>
    <w:p>
      <w:pPr>
        <w:widowControl/>
        <w:jc w:val="center"/>
        <w:rPr>
          <w:rFonts w:hint="default" w:ascii="Times New Roman" w:hAnsi="Times New Roman" w:eastAsia="方正小标宋_GBK" w:cs="Times New Roman"/>
          <w:color w:val="auto"/>
          <w:kern w:val="0"/>
          <w:sz w:val="36"/>
          <w:szCs w:val="36"/>
        </w:rPr>
        <w:sectPr>
          <w:pgSz w:w="16838" w:h="11906" w:orient="landscape"/>
          <w:pgMar w:top="720" w:right="720" w:bottom="720" w:left="720" w:header="851" w:footer="992" w:gutter="0"/>
          <w:cols w:space="425" w:num="1"/>
          <w:docGrid w:type="lines" w:linePitch="312" w:charSpace="0"/>
        </w:sectPr>
      </w:pPr>
      <w:bookmarkStart w:id="0" w:name="RANGE!A1:I22"/>
      <w:bookmarkEnd w:id="0"/>
      <w:bookmarkStart w:id="1" w:name="RANGE!A1:F16"/>
    </w:p>
    <w:tbl>
      <w:tblPr>
        <w:tblStyle w:val="7"/>
        <w:tblW w:w="15521" w:type="dxa"/>
        <w:tblInd w:w="93" w:type="dxa"/>
        <w:tblLayout w:type="fixed"/>
        <w:tblCellMar>
          <w:top w:w="0" w:type="dxa"/>
          <w:left w:w="108" w:type="dxa"/>
          <w:bottom w:w="0" w:type="dxa"/>
          <w:right w:w="108" w:type="dxa"/>
        </w:tblCellMar>
      </w:tblPr>
      <w:tblGrid>
        <w:gridCol w:w="3590"/>
        <w:gridCol w:w="757"/>
        <w:gridCol w:w="1155"/>
        <w:gridCol w:w="3658"/>
        <w:gridCol w:w="722"/>
        <w:gridCol w:w="1284"/>
        <w:gridCol w:w="1392"/>
        <w:gridCol w:w="1392"/>
        <w:gridCol w:w="1571"/>
      </w:tblGrid>
      <w:tr>
        <w:tblPrEx>
          <w:tblCellMar>
            <w:top w:w="0" w:type="dxa"/>
            <w:left w:w="108" w:type="dxa"/>
            <w:bottom w:w="0" w:type="dxa"/>
            <w:right w:w="108" w:type="dxa"/>
          </w:tblCellMar>
        </w:tblPrEx>
        <w:trPr>
          <w:trHeight w:val="360" w:hRule="atLeast"/>
        </w:trPr>
        <w:tc>
          <w:tcPr>
            <w:tcW w:w="15521" w:type="dxa"/>
            <w:gridSpan w:val="9"/>
            <w:tcBorders>
              <w:top w:val="nil"/>
              <w:left w:val="nil"/>
              <w:bottom w:val="nil"/>
              <w:right w:val="nil"/>
            </w:tcBorders>
            <w:shd w:val="clear" w:color="auto" w:fill="auto"/>
            <w:noWrap/>
            <w:vAlign w:val="center"/>
          </w:tcPr>
          <w:p>
            <w:pPr>
              <w:widowControl/>
              <w:jc w:val="center"/>
              <w:rPr>
                <w:rFonts w:hint="default" w:ascii="Times New Roman" w:hAnsi="Times New Roman" w:eastAsia="华文中宋" w:cs="Times New Roman"/>
                <w:color w:val="auto"/>
                <w:kern w:val="0"/>
                <w:sz w:val="32"/>
                <w:szCs w:val="32"/>
              </w:rPr>
            </w:pPr>
            <w:r>
              <w:rPr>
                <w:rFonts w:hint="default" w:ascii="Times New Roman" w:hAnsi="Times New Roman" w:eastAsia="方正小标宋_GBK" w:cs="Times New Roman"/>
                <w:color w:val="auto"/>
                <w:kern w:val="0"/>
                <w:sz w:val="32"/>
                <w:szCs w:val="32"/>
              </w:rPr>
              <w:t>财政拨款收入支出决算总表</w:t>
            </w:r>
          </w:p>
        </w:tc>
      </w:tr>
      <w:tr>
        <w:tblPrEx>
          <w:tblCellMar>
            <w:top w:w="0" w:type="dxa"/>
            <w:left w:w="108" w:type="dxa"/>
            <w:bottom w:w="0" w:type="dxa"/>
            <w:right w:w="108" w:type="dxa"/>
          </w:tblCellMar>
        </w:tblPrEx>
        <w:trPr>
          <w:trHeight w:val="199" w:hRule="atLeast"/>
        </w:trPr>
        <w:tc>
          <w:tcPr>
            <w:tcW w:w="3590"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757"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155"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658"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722"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284"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92"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92"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571"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公开04表</w:t>
            </w:r>
          </w:p>
        </w:tc>
      </w:tr>
      <w:tr>
        <w:tblPrEx>
          <w:tblCellMar>
            <w:top w:w="0" w:type="dxa"/>
            <w:left w:w="108" w:type="dxa"/>
            <w:bottom w:w="0" w:type="dxa"/>
            <w:right w:w="108" w:type="dxa"/>
          </w:tblCellMar>
        </w:tblPrEx>
        <w:trPr>
          <w:trHeight w:val="300" w:hRule="atLeast"/>
        </w:trPr>
        <w:tc>
          <w:tcPr>
            <w:tcW w:w="4347" w:type="dxa"/>
            <w:gridSpan w:val="2"/>
            <w:tcBorders>
              <w:top w:val="nil"/>
              <w:left w:val="nil"/>
              <w:bottom w:val="nil"/>
              <w:right w:val="nil"/>
            </w:tcBorders>
            <w:shd w:val="clear" w:color="000000" w:fill="FFFFFF"/>
            <w:noWrap/>
            <w:vAlign w:val="center"/>
          </w:tcPr>
          <w:p>
            <w:pPr>
              <w:widowControl/>
              <w:jc w:val="lef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0"/>
                <w:szCs w:val="20"/>
              </w:rPr>
              <w:t>部门：</w:t>
            </w:r>
            <w:r>
              <w:rPr>
                <w:rFonts w:hint="default" w:ascii="Times New Roman" w:hAnsi="Times New Roman" w:eastAsia="宋体" w:cs="Times New Roman"/>
                <w:color w:val="auto"/>
                <w:kern w:val="0"/>
                <w:sz w:val="20"/>
                <w:szCs w:val="20"/>
                <w:lang w:eastAsia="zh-CN"/>
              </w:rPr>
              <w:t>湖南省国际人才智力交流协作中心</w:t>
            </w:r>
            <w:r>
              <w:rPr>
                <w:rFonts w:hint="default" w:ascii="Times New Roman" w:hAnsi="Times New Roman" w:eastAsia="宋体" w:cs="Times New Roman"/>
                <w:color w:val="auto"/>
                <w:kern w:val="0"/>
                <w:sz w:val="24"/>
                <w:szCs w:val="24"/>
              </w:rPr>
              <w:t>　</w:t>
            </w:r>
          </w:p>
        </w:tc>
        <w:tc>
          <w:tcPr>
            <w:tcW w:w="1155"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658"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722"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284"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92"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92"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571" w:type="dxa"/>
            <w:tcBorders>
              <w:top w:val="nil"/>
              <w:left w:val="nil"/>
              <w:bottom w:val="nil"/>
              <w:right w:val="nil"/>
            </w:tcBorders>
            <w:shd w:val="clear" w:color="000000" w:fill="FFFFFF"/>
            <w:noWrap/>
            <w:vAlign w:val="center"/>
          </w:tcPr>
          <w:p>
            <w:pPr>
              <w:widowControl/>
              <w:jc w:val="right"/>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单位：万元</w:t>
            </w:r>
          </w:p>
        </w:tc>
      </w:tr>
      <w:tr>
        <w:tblPrEx>
          <w:tblCellMar>
            <w:top w:w="0" w:type="dxa"/>
            <w:left w:w="108" w:type="dxa"/>
            <w:bottom w:w="0" w:type="dxa"/>
            <w:right w:w="108" w:type="dxa"/>
          </w:tblCellMar>
        </w:tblPrEx>
        <w:trPr>
          <w:trHeight w:val="402" w:hRule="atLeast"/>
        </w:trPr>
        <w:tc>
          <w:tcPr>
            <w:tcW w:w="5502"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收入</w:t>
            </w:r>
          </w:p>
        </w:tc>
        <w:tc>
          <w:tcPr>
            <w:tcW w:w="10019" w:type="dxa"/>
            <w:gridSpan w:val="6"/>
            <w:tcBorders>
              <w:top w:val="single" w:color="auto" w:sz="4" w:space="0"/>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支出</w:t>
            </w:r>
          </w:p>
        </w:tc>
      </w:tr>
      <w:tr>
        <w:tblPrEx>
          <w:tblCellMar>
            <w:top w:w="0" w:type="dxa"/>
            <w:left w:w="108" w:type="dxa"/>
            <w:bottom w:w="0" w:type="dxa"/>
            <w:right w:w="108" w:type="dxa"/>
          </w:tblCellMar>
        </w:tblPrEx>
        <w:trPr>
          <w:trHeight w:val="630"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项    目</w:t>
            </w: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行次</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金额</w:t>
            </w: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项    目</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行次</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合计</w:t>
            </w:r>
          </w:p>
        </w:tc>
        <w:tc>
          <w:tcPr>
            <w:tcW w:w="13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一般公共预算财政拨款</w:t>
            </w:r>
          </w:p>
        </w:tc>
        <w:tc>
          <w:tcPr>
            <w:tcW w:w="13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政府性基金预算财政拨款</w:t>
            </w:r>
          </w:p>
        </w:tc>
        <w:tc>
          <w:tcPr>
            <w:tcW w:w="157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国有资本经营预算财政拨款</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栏    次</w:t>
            </w: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1</w:t>
            </w: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栏    次</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2</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3</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4</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5</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一、一般公共预算财政拨款</w:t>
            </w: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1</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253.14</w:t>
            </w:r>
            <w:r>
              <w:rPr>
                <w:rFonts w:hint="default" w:ascii="Times New Roman" w:hAnsi="Times New Roman" w:eastAsia="宋体" w:cs="Times New Roman"/>
                <w:color w:val="auto"/>
                <w:kern w:val="0"/>
                <w:sz w:val="24"/>
                <w:szCs w:val="24"/>
              </w:rPr>
              <w:t>　</w:t>
            </w: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一、一般公共服务支出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33</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二、政府性基金预算财政拨款</w:t>
            </w: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2</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二、外交支出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34</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三、国有资本经营预算财政拨款</w:t>
            </w: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3</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三、国防支出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35</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4</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四、公共安全支出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36</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5</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五、教育支出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37</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6</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六、科学技术支出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38</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242.58</w:t>
            </w:r>
            <w:r>
              <w:rPr>
                <w:rFonts w:hint="default" w:ascii="Times New Roman" w:hAnsi="Times New Roman" w:eastAsia="宋体" w:cs="Times New Roman"/>
                <w:color w:val="auto"/>
                <w:kern w:val="0"/>
                <w:sz w:val="24"/>
                <w:szCs w:val="24"/>
              </w:rPr>
              <w:t>　</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kern w:val="0"/>
                <w:sz w:val="24"/>
                <w:szCs w:val="24"/>
                <w:lang w:val="en-US" w:eastAsia="zh-CN"/>
              </w:rPr>
              <w:t>242.58</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7</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七、文化旅游体育与传媒支出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39</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8</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八、社会保障和就业支出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40</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14.04</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14.04</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9</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九、卫生健康支出　</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41</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10</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十、节能环保支出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42</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11</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十一、城乡社区支出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43</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12</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十二、农林水支出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44</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13</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十三、交通运输支出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45</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14</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十四、资源勘探工业信息等支出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46</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15</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十五、商业服务业等支出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47</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16</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十六、金融支出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48</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17</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十七、援助其他地区支出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49</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18</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十八、自然资源海洋气象等支出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50</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02" w:hRule="atLeast"/>
        </w:trPr>
        <w:tc>
          <w:tcPr>
            <w:tcW w:w="550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收入</w:t>
            </w:r>
          </w:p>
        </w:tc>
        <w:tc>
          <w:tcPr>
            <w:tcW w:w="10019"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支出</w:t>
            </w:r>
          </w:p>
        </w:tc>
      </w:tr>
      <w:tr>
        <w:tblPrEx>
          <w:tblCellMar>
            <w:top w:w="0" w:type="dxa"/>
            <w:left w:w="108" w:type="dxa"/>
            <w:bottom w:w="0" w:type="dxa"/>
            <w:right w:w="108" w:type="dxa"/>
          </w:tblCellMar>
        </w:tblPrEx>
        <w:trPr>
          <w:trHeight w:val="402" w:hRule="atLeast"/>
        </w:trPr>
        <w:tc>
          <w:tcPr>
            <w:tcW w:w="359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项    目</w:t>
            </w:r>
          </w:p>
        </w:tc>
        <w:tc>
          <w:tcPr>
            <w:tcW w:w="75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行次</w:t>
            </w:r>
          </w:p>
        </w:tc>
        <w:tc>
          <w:tcPr>
            <w:tcW w:w="115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金额</w:t>
            </w:r>
          </w:p>
        </w:tc>
        <w:tc>
          <w:tcPr>
            <w:tcW w:w="365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项    目</w:t>
            </w:r>
          </w:p>
        </w:tc>
        <w:tc>
          <w:tcPr>
            <w:tcW w:w="72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行次</w:t>
            </w:r>
          </w:p>
        </w:tc>
        <w:tc>
          <w:tcPr>
            <w:tcW w:w="128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合计</w:t>
            </w:r>
          </w:p>
        </w:tc>
        <w:tc>
          <w:tcPr>
            <w:tcW w:w="139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一般公共预算财政拨款</w:t>
            </w:r>
          </w:p>
        </w:tc>
        <w:tc>
          <w:tcPr>
            <w:tcW w:w="139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政府性基金预算财政拨款</w:t>
            </w:r>
          </w:p>
        </w:tc>
        <w:tc>
          <w:tcPr>
            <w:tcW w:w="1571"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国有资本经营预算财政拨款</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栏    次</w:t>
            </w: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　</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1</w:t>
            </w: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栏    次</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　</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2</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3</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4</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0"/>
                <w:sz w:val="24"/>
                <w:szCs w:val="24"/>
              </w:rPr>
              <w:t>5</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19</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2"/>
              </w:rPr>
              <w:t>十九、住房保障支出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51</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kern w:val="0"/>
                <w:sz w:val="24"/>
                <w:szCs w:val="24"/>
                <w:lang w:val="en-US" w:eastAsia="zh-CN"/>
              </w:rPr>
              <w:t>22.62</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kern w:val="0"/>
                <w:sz w:val="24"/>
                <w:szCs w:val="24"/>
                <w:lang w:val="en-US" w:eastAsia="zh-CN"/>
              </w:rPr>
              <w:t>22.62</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20</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2"/>
              </w:rPr>
              <w:t>二十、粮油物资储备支出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52</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21</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2"/>
              </w:rPr>
              <w:t>二十一、国有资本经营预算支出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53</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22</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2"/>
              </w:rPr>
              <w:t>二十二、灾害防治及应急管理支出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54</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23</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2"/>
              </w:rPr>
              <w:t>二十三、其他支出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55</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24</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2"/>
              </w:rPr>
              <w:t>二十四、债务还本支出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56</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25</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2"/>
              </w:rPr>
              <w:t>二十五、债务付息支出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57</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26</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2"/>
              </w:rPr>
              <w:t>二十六、抗疫特别国债安排的支出</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58</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kern w:val="0"/>
                <w:sz w:val="24"/>
                <w:szCs w:val="24"/>
              </w:rPr>
              <w:t>本年收入合计</w:t>
            </w: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27</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253.14</w:t>
            </w:r>
            <w:r>
              <w:rPr>
                <w:rFonts w:hint="default" w:ascii="Times New Roman" w:hAnsi="Times New Roman" w:eastAsia="宋体" w:cs="Times New Roman"/>
                <w:color w:val="auto"/>
                <w:kern w:val="0"/>
                <w:sz w:val="24"/>
                <w:szCs w:val="24"/>
              </w:rPr>
              <w:t>　</w:t>
            </w: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kern w:val="0"/>
                <w:sz w:val="24"/>
                <w:szCs w:val="24"/>
              </w:rPr>
              <w:t>本年支出合计</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59</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kern w:val="0"/>
                <w:sz w:val="24"/>
                <w:szCs w:val="24"/>
                <w:lang w:val="en-US" w:eastAsia="zh-CN"/>
              </w:rPr>
              <w:t>279.24</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kern w:val="0"/>
                <w:sz w:val="24"/>
                <w:szCs w:val="24"/>
                <w:lang w:val="en-US" w:eastAsia="zh-CN"/>
              </w:rPr>
              <w:t>279.24</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kern w:val="0"/>
                <w:sz w:val="24"/>
                <w:szCs w:val="24"/>
              </w:rPr>
              <w:t>　</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年初财政拨款结转和结余</w:t>
            </w: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28</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50.00</w:t>
            </w:r>
            <w:r>
              <w:rPr>
                <w:rFonts w:hint="default" w:ascii="Times New Roman" w:hAnsi="Times New Roman" w:eastAsia="宋体" w:cs="Times New Roman"/>
                <w:color w:val="auto"/>
                <w:kern w:val="0"/>
                <w:sz w:val="24"/>
                <w:szCs w:val="24"/>
              </w:rPr>
              <w:t>　</w:t>
            </w: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年末财政拨款结转和结余</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60</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kern w:val="0"/>
                <w:sz w:val="24"/>
                <w:szCs w:val="24"/>
                <w:lang w:val="en-US" w:eastAsia="zh-CN"/>
              </w:rPr>
              <w:t>23.90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kern w:val="0"/>
                <w:sz w:val="24"/>
                <w:szCs w:val="24"/>
                <w:lang w:val="en-US" w:eastAsia="zh-CN"/>
              </w:rPr>
              <w:t>23.90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ind w:firstLine="480" w:firstLineChars="200"/>
              <w:jc w:val="both"/>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一般公共预算财政拨款</w:t>
            </w: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29</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61</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xml:space="preserve"> 政府性基金预算财政拨款</w:t>
            </w: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30</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62</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xml:space="preserve">   国有资本经营预算财政拨款</w:t>
            </w:r>
          </w:p>
        </w:tc>
        <w:tc>
          <w:tcPr>
            <w:tcW w:w="75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31</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65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72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63</w:t>
            </w:r>
          </w:p>
        </w:tc>
        <w:tc>
          <w:tcPr>
            <w:tcW w:w="128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kern w:val="0"/>
                <w:sz w:val="24"/>
                <w:szCs w:val="24"/>
              </w:rPr>
              <w:t>总计</w:t>
            </w:r>
          </w:p>
        </w:tc>
        <w:tc>
          <w:tcPr>
            <w:tcW w:w="757"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32</w:t>
            </w:r>
          </w:p>
        </w:tc>
        <w:tc>
          <w:tcPr>
            <w:tcW w:w="115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303.14</w:t>
            </w:r>
            <w:r>
              <w:rPr>
                <w:rFonts w:hint="default" w:ascii="Times New Roman" w:hAnsi="Times New Roman" w:eastAsia="宋体" w:cs="Times New Roman"/>
                <w:color w:val="auto"/>
                <w:kern w:val="0"/>
                <w:sz w:val="24"/>
                <w:szCs w:val="24"/>
              </w:rPr>
              <w:t>　</w:t>
            </w:r>
          </w:p>
        </w:tc>
        <w:tc>
          <w:tcPr>
            <w:tcW w:w="3658"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kern w:val="0"/>
                <w:sz w:val="24"/>
                <w:szCs w:val="24"/>
              </w:rPr>
              <w:t>总计</w:t>
            </w:r>
          </w:p>
        </w:tc>
        <w:tc>
          <w:tcPr>
            <w:tcW w:w="722"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64</w:t>
            </w:r>
          </w:p>
        </w:tc>
        <w:tc>
          <w:tcPr>
            <w:tcW w:w="1284"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kern w:val="0"/>
                <w:sz w:val="24"/>
                <w:szCs w:val="24"/>
                <w:lang w:val="en-US" w:eastAsia="zh-CN"/>
              </w:rPr>
              <w:t>303.14</w:t>
            </w:r>
          </w:p>
        </w:tc>
        <w:tc>
          <w:tcPr>
            <w:tcW w:w="1392"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303.14</w:t>
            </w:r>
            <w:r>
              <w:rPr>
                <w:rFonts w:hint="default" w:ascii="Times New Roman" w:hAnsi="Times New Roman" w:eastAsia="宋体" w:cs="Times New Roman"/>
                <w:color w:val="auto"/>
                <w:kern w:val="0"/>
                <w:sz w:val="24"/>
                <w:szCs w:val="24"/>
              </w:rPr>
              <w:t>　</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kern w:val="0"/>
                <w:sz w:val="24"/>
                <w:szCs w:val="24"/>
              </w:rPr>
              <w:t>　</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b/>
                <w:bCs/>
                <w:color w:val="auto"/>
                <w:kern w:val="0"/>
                <w:sz w:val="24"/>
                <w:szCs w:val="24"/>
              </w:rPr>
            </w:pPr>
            <w:r>
              <w:rPr>
                <w:rFonts w:hint="default" w:ascii="Times New Roman" w:hAnsi="Times New Roman" w:eastAsia="宋体" w:cs="Times New Roman"/>
                <w:b/>
                <w:bCs/>
                <w:color w:val="auto"/>
                <w:kern w:val="0"/>
                <w:sz w:val="24"/>
                <w:szCs w:val="24"/>
              </w:rPr>
              <w:t>　</w:t>
            </w:r>
          </w:p>
        </w:tc>
      </w:tr>
      <w:tr>
        <w:tblPrEx>
          <w:tblCellMar>
            <w:top w:w="0" w:type="dxa"/>
            <w:left w:w="108" w:type="dxa"/>
            <w:bottom w:w="0" w:type="dxa"/>
            <w:right w:w="108" w:type="dxa"/>
          </w:tblCellMar>
        </w:tblPrEx>
        <w:trPr>
          <w:trHeight w:val="585" w:hRule="atLeast"/>
        </w:trPr>
        <w:tc>
          <w:tcPr>
            <w:tcW w:w="15521" w:type="dxa"/>
            <w:gridSpan w:val="9"/>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注：本表反映部门本年度一般公共预算财政拨款、政府性基金预算财政拨款和国有资本经营预算财政拨款的总收支和年末结转结余情况。</w:t>
            </w:r>
          </w:p>
        </w:tc>
      </w:tr>
    </w:tbl>
    <w:p>
      <w:pPr>
        <w:pStyle w:val="2"/>
        <w:rPr>
          <w:rFonts w:hint="default" w:ascii="Times New Roman" w:hAnsi="Times New Roman" w:cs="Times New Roman"/>
          <w:color w:val="auto"/>
        </w:rPr>
        <w:sectPr>
          <w:pgSz w:w="16838" w:h="11906" w:orient="landscape"/>
          <w:pgMar w:top="720" w:right="720" w:bottom="720" w:left="720" w:header="851" w:footer="992" w:gutter="0"/>
          <w:cols w:space="425" w:num="1"/>
          <w:docGrid w:type="lines" w:linePitch="312" w:charSpace="0"/>
        </w:sectPr>
      </w:pPr>
    </w:p>
    <w:p>
      <w:pPr>
        <w:widowControl/>
        <w:jc w:val="center"/>
        <w:rPr>
          <w:rFonts w:hint="default" w:ascii="Times New Roman" w:hAnsi="Times New Roman" w:eastAsia="方正小标宋_GBK" w:cs="Times New Roman"/>
          <w:color w:val="auto"/>
          <w:kern w:val="0"/>
          <w:sz w:val="32"/>
          <w:szCs w:val="32"/>
        </w:rPr>
      </w:pPr>
      <w:r>
        <w:rPr>
          <w:rFonts w:hint="default" w:ascii="Times New Roman" w:hAnsi="Times New Roman" w:eastAsia="方正小标宋_GBK" w:cs="Times New Roman"/>
          <w:color w:val="auto"/>
          <w:kern w:val="0"/>
          <w:sz w:val="32"/>
          <w:szCs w:val="32"/>
        </w:rPr>
        <w:t>一般公共预算财政拨款支出决算表</w:t>
      </w:r>
      <w:bookmarkEnd w:id="1"/>
    </w:p>
    <w:p>
      <w:pPr>
        <w:widowControl/>
        <w:spacing w:before="156" w:beforeLines="50"/>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xml:space="preserve">     部门：</w:t>
      </w:r>
      <w:r>
        <w:rPr>
          <w:rFonts w:hint="default" w:ascii="Times New Roman" w:hAnsi="Times New Roman" w:eastAsia="宋体" w:cs="Times New Roman"/>
          <w:color w:val="auto"/>
          <w:kern w:val="0"/>
          <w:sz w:val="20"/>
          <w:szCs w:val="20"/>
          <w:lang w:eastAsia="zh-CN"/>
        </w:rPr>
        <w:t>湖南省国际人才智力交流协作中心</w:t>
      </w:r>
      <w:r>
        <w:rPr>
          <w:rFonts w:hint="default" w:ascii="Times New Roman" w:hAnsi="Times New Roman" w:eastAsia="宋体" w:cs="Times New Roman"/>
          <w:color w:val="auto"/>
          <w:kern w:val="0"/>
          <w:szCs w:val="21"/>
        </w:rPr>
        <w:t xml:space="preserve">                                                                                   </w:t>
      </w:r>
      <w:r>
        <w:rPr>
          <w:rFonts w:hint="default" w:ascii="Times New Roman" w:hAnsi="Times New Roman" w:eastAsia="宋体" w:cs="Times New Roman"/>
          <w:color w:val="auto"/>
          <w:kern w:val="0"/>
          <w:szCs w:val="21"/>
          <w:lang w:val="en-US" w:eastAsia="zh-CN"/>
        </w:rPr>
        <w:t xml:space="preserve"> </w:t>
      </w:r>
      <w:r>
        <w:rPr>
          <w:rFonts w:hint="default" w:ascii="Times New Roman" w:hAnsi="Times New Roman" w:eastAsia="宋体" w:cs="Times New Roman"/>
          <w:color w:val="auto"/>
          <w:kern w:val="0"/>
          <w:szCs w:val="21"/>
        </w:rPr>
        <w:t xml:space="preserve">       公开05表</w:t>
      </w:r>
    </w:p>
    <w:p>
      <w:pPr>
        <w:widowControl/>
        <w:jc w:val="left"/>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 xml:space="preserve">                                                                                                                                 </w:t>
      </w:r>
      <w:r>
        <w:rPr>
          <w:rFonts w:hint="default" w:ascii="Times New Roman" w:hAnsi="Times New Roman" w:eastAsia="宋体" w:cs="Times New Roman"/>
          <w:color w:val="auto"/>
          <w:kern w:val="0"/>
          <w:szCs w:val="21"/>
        </w:rPr>
        <w:t>单位：万</w:t>
      </w:r>
    </w:p>
    <w:tbl>
      <w:tblPr>
        <w:tblStyle w:val="7"/>
        <w:tblW w:w="14219" w:type="dxa"/>
        <w:jc w:val="center"/>
        <w:tblLayout w:type="fixed"/>
        <w:tblCellMar>
          <w:top w:w="0" w:type="dxa"/>
          <w:left w:w="108" w:type="dxa"/>
          <w:bottom w:w="0" w:type="dxa"/>
          <w:right w:w="108" w:type="dxa"/>
        </w:tblCellMar>
      </w:tblPr>
      <w:tblGrid>
        <w:gridCol w:w="1200"/>
        <w:gridCol w:w="3527"/>
        <w:gridCol w:w="3000"/>
        <w:gridCol w:w="3492"/>
        <w:gridCol w:w="3000"/>
      </w:tblGrid>
      <w:tr>
        <w:trPr>
          <w:trHeight w:val="90"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b w:val="0"/>
                <w:bCs/>
                <w:color w:val="auto"/>
                <w:kern w:val="0"/>
                <w:szCs w:val="21"/>
              </w:rPr>
            </w:pPr>
            <w:r>
              <w:rPr>
                <w:rFonts w:hint="eastAsia" w:asciiTheme="minorEastAsia" w:hAnsiTheme="minorEastAsia" w:eastAsiaTheme="minorEastAsia" w:cstheme="minorEastAsia"/>
                <w:b w:val="0"/>
                <w:bCs/>
                <w:color w:val="auto"/>
                <w:kern w:val="0"/>
                <w:szCs w:val="21"/>
              </w:rPr>
              <w:t>项    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b w:val="0"/>
                <w:bCs/>
                <w:color w:val="auto"/>
                <w:kern w:val="0"/>
                <w:szCs w:val="21"/>
              </w:rPr>
            </w:pPr>
            <w:r>
              <w:rPr>
                <w:rFonts w:hint="eastAsia" w:asciiTheme="minorEastAsia" w:hAnsiTheme="minorEastAsia" w:eastAsiaTheme="minorEastAsia" w:cstheme="minorEastAsia"/>
                <w:b w:val="0"/>
                <w:bCs/>
                <w:color w:val="auto"/>
                <w:kern w:val="0"/>
                <w:szCs w:val="21"/>
              </w:rPr>
              <w:t>本年支出</w:t>
            </w:r>
          </w:p>
        </w:tc>
      </w:tr>
      <w:tr>
        <w:tblPrEx>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Theme="minorEastAsia" w:hAnsiTheme="minorEastAsia" w:eastAsiaTheme="minorEastAsia" w:cstheme="minorEastAsia"/>
                <w:b w:val="0"/>
                <w:bCs/>
                <w:color w:val="auto"/>
                <w:kern w:val="0"/>
                <w:szCs w:val="21"/>
              </w:rPr>
            </w:pPr>
            <w:r>
              <w:rPr>
                <w:rFonts w:hint="eastAsia" w:asciiTheme="minorEastAsia" w:hAnsiTheme="minorEastAsia" w:eastAsiaTheme="minorEastAsia" w:cstheme="minorEastAsia"/>
                <w:b w:val="0"/>
                <w:bCs/>
                <w:color w:val="auto"/>
                <w:kern w:val="0"/>
                <w:szCs w:val="21"/>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Theme="minorEastAsia" w:hAnsiTheme="minorEastAsia" w:eastAsiaTheme="minorEastAsia" w:cstheme="minorEastAsia"/>
                <w:b w:val="0"/>
                <w:bCs/>
                <w:color w:val="auto"/>
                <w:kern w:val="0"/>
                <w:szCs w:val="21"/>
              </w:rPr>
            </w:pPr>
            <w:r>
              <w:rPr>
                <w:rFonts w:hint="eastAsia" w:asciiTheme="minorEastAsia" w:hAnsiTheme="minorEastAsia" w:eastAsiaTheme="minorEastAsia" w:cstheme="minorEastAsia"/>
                <w:b w:val="0"/>
                <w:bCs/>
                <w:color w:val="auto"/>
                <w:kern w:val="0"/>
                <w:szCs w:val="21"/>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Theme="minorEastAsia" w:hAnsiTheme="minorEastAsia" w:eastAsiaTheme="minorEastAsia" w:cstheme="minorEastAsia"/>
                <w:b w:val="0"/>
                <w:bCs/>
                <w:color w:val="auto"/>
                <w:kern w:val="0"/>
                <w:szCs w:val="21"/>
              </w:rPr>
            </w:pPr>
            <w:r>
              <w:rPr>
                <w:rFonts w:hint="eastAsia" w:asciiTheme="minorEastAsia" w:hAnsiTheme="minorEastAsia" w:eastAsiaTheme="minorEastAsia" w:cstheme="minorEastAsia"/>
                <w:b w:val="0"/>
                <w:bCs/>
                <w:color w:val="auto"/>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Theme="minorEastAsia" w:hAnsiTheme="minorEastAsia" w:eastAsiaTheme="minorEastAsia" w:cstheme="minorEastAsia"/>
                <w:b w:val="0"/>
                <w:bCs/>
                <w:color w:val="auto"/>
                <w:kern w:val="0"/>
                <w:szCs w:val="21"/>
              </w:rPr>
            </w:pPr>
            <w:r>
              <w:rPr>
                <w:rFonts w:hint="eastAsia" w:asciiTheme="minorEastAsia" w:hAnsiTheme="minorEastAsia" w:eastAsiaTheme="minorEastAsia" w:cstheme="minorEastAsia"/>
                <w:b w:val="0"/>
                <w:bCs/>
                <w:color w:val="auto"/>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Theme="minorEastAsia" w:hAnsiTheme="minorEastAsia" w:eastAsiaTheme="minorEastAsia" w:cstheme="minorEastAsia"/>
                <w:b w:val="0"/>
                <w:bCs/>
                <w:color w:val="auto"/>
                <w:kern w:val="0"/>
                <w:szCs w:val="21"/>
              </w:rPr>
            </w:pPr>
            <w:r>
              <w:rPr>
                <w:rFonts w:hint="eastAsia" w:asciiTheme="minorEastAsia" w:hAnsiTheme="minorEastAsia" w:eastAsiaTheme="minorEastAsia" w:cstheme="minorEastAsia"/>
                <w:b w:val="0"/>
                <w:bCs/>
                <w:color w:val="auto"/>
                <w:kern w:val="0"/>
                <w:szCs w:val="21"/>
              </w:rPr>
              <w:t>项目支出</w:t>
            </w:r>
          </w:p>
        </w:tc>
      </w:tr>
      <w:tr>
        <w:tblPrEx>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auto"/>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auto"/>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hint="default" w:ascii="Times New Roman" w:hAnsi="Times New Roman" w:eastAsia="仿宋_GB2312" w:cs="Times New Roman"/>
                <w:color w:val="auto"/>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hint="default" w:ascii="Times New Roman" w:hAnsi="Times New Roman" w:eastAsia="仿宋_GB2312" w:cs="Times New Roman"/>
                <w:color w:val="auto"/>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hint="default" w:ascii="Times New Roman" w:hAnsi="Times New Roman" w:eastAsia="仿宋_GB2312" w:cs="Times New Roman"/>
                <w:color w:val="auto"/>
                <w:kern w:val="0"/>
                <w:szCs w:val="21"/>
              </w:rPr>
            </w:pPr>
          </w:p>
        </w:tc>
      </w:tr>
      <w:tr>
        <w:tblPrEx>
          <w:tblCellMar>
            <w:top w:w="0" w:type="dxa"/>
            <w:left w:w="108" w:type="dxa"/>
            <w:bottom w:w="0" w:type="dxa"/>
            <w:right w:w="108" w:type="dxa"/>
          </w:tblCellMar>
        </w:tblPrEx>
        <w:trPr>
          <w:trHeight w:val="312"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auto"/>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auto"/>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hint="default" w:ascii="Times New Roman" w:hAnsi="Times New Roman" w:eastAsia="仿宋_GB2312" w:cs="Times New Roman"/>
                <w:color w:val="auto"/>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hint="default" w:ascii="Times New Roman" w:hAnsi="Times New Roman" w:eastAsia="仿宋_GB2312" w:cs="Times New Roman"/>
                <w:color w:val="auto"/>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hint="default" w:ascii="Times New Roman" w:hAnsi="Times New Roman" w:eastAsia="仿宋_GB2312" w:cs="Times New Roman"/>
                <w:color w:val="auto"/>
                <w:kern w:val="0"/>
                <w:szCs w:val="21"/>
              </w:rPr>
            </w:pPr>
          </w:p>
        </w:tc>
      </w:tr>
      <w:tr>
        <w:tblPrEx>
          <w:tblCellMar>
            <w:top w:w="0" w:type="dxa"/>
            <w:left w:w="108" w:type="dxa"/>
            <w:bottom w:w="0" w:type="dxa"/>
            <w:right w:w="108" w:type="dxa"/>
          </w:tblCellMar>
        </w:tblPrEx>
        <w:trPr>
          <w:trHeight w:val="342"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3</w:t>
            </w:r>
          </w:p>
        </w:tc>
      </w:tr>
      <w:tr>
        <w:tblPrEx>
          <w:tblCellMar>
            <w:top w:w="0" w:type="dxa"/>
            <w:left w:w="108" w:type="dxa"/>
            <w:bottom w:w="0" w:type="dxa"/>
            <w:right w:w="108" w:type="dxa"/>
          </w:tblCellMar>
        </w:tblPrEx>
        <w:trPr>
          <w:trHeight w:val="354"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b/>
                <w:bCs/>
                <w:color w:val="auto"/>
                <w:kern w:val="0"/>
                <w:szCs w:val="21"/>
              </w:rPr>
            </w:pPr>
            <w:r>
              <w:rPr>
                <w:rFonts w:hint="eastAsia" w:asciiTheme="minorEastAsia" w:hAnsiTheme="minorEastAsia" w:eastAsiaTheme="minorEastAsia" w:cstheme="minorEastAsia"/>
                <w:b/>
                <w:bCs/>
                <w:color w:val="auto"/>
                <w:kern w:val="0"/>
                <w:szCs w:val="21"/>
              </w:rPr>
              <w:t>合计</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lang w:val="en-US"/>
              </w:rPr>
            </w:pPr>
            <w:r>
              <w:rPr>
                <w:rFonts w:hint="eastAsia" w:ascii="Times New Roman" w:hAnsi="Times New Roman" w:eastAsia="宋体" w:cs="Times New Roman"/>
                <w:b/>
                <w:bCs/>
                <w:i w:val="0"/>
                <w:color w:val="auto"/>
                <w:kern w:val="0"/>
                <w:sz w:val="20"/>
                <w:szCs w:val="20"/>
                <w:u w:val="none"/>
                <w:lang w:val="en-US" w:eastAsia="zh-CN" w:bidi="ar"/>
              </w:rPr>
              <w:t>279.24</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rPr>
            </w:pPr>
            <w:r>
              <w:rPr>
                <w:rFonts w:hint="default" w:ascii="Times New Roman" w:hAnsi="Times New Roman" w:eastAsia="宋体" w:cs="Times New Roman"/>
                <w:b/>
                <w:bCs/>
                <w:i w:val="0"/>
                <w:color w:val="auto"/>
                <w:kern w:val="0"/>
                <w:sz w:val="20"/>
                <w:szCs w:val="20"/>
                <w:u w:val="none"/>
                <w:lang w:val="en-US" w:eastAsia="zh-CN" w:bidi="ar"/>
              </w:rPr>
              <w:t>131.84</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lang w:val="en-US"/>
              </w:rPr>
            </w:pPr>
            <w:r>
              <w:rPr>
                <w:rFonts w:hint="eastAsia" w:ascii="Times New Roman" w:hAnsi="Times New Roman" w:eastAsia="宋体" w:cs="Times New Roman"/>
                <w:b/>
                <w:bCs/>
                <w:i w:val="0"/>
                <w:color w:val="auto"/>
                <w:kern w:val="0"/>
                <w:sz w:val="20"/>
                <w:szCs w:val="20"/>
                <w:u w:val="none"/>
                <w:lang w:val="en-US" w:eastAsia="zh-CN" w:bidi="ar"/>
              </w:rPr>
              <w:t>147.40</w:t>
            </w:r>
          </w:p>
        </w:tc>
      </w:tr>
      <w:tr>
        <w:tblPrEx>
          <w:tblCellMar>
            <w:top w:w="0" w:type="dxa"/>
            <w:left w:w="108" w:type="dxa"/>
            <w:bottom w:w="0" w:type="dxa"/>
            <w:right w:w="108" w:type="dxa"/>
          </w:tblCellMar>
        </w:tblPrEx>
        <w:trPr>
          <w:trHeight w:val="354"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both"/>
              <w:outlineLvl w:val="9"/>
              <w:rPr>
                <w:rFonts w:hint="default" w:ascii="Times New Roman" w:hAnsi="Times New Roman" w:eastAsia="仿宋_GB2312" w:cs="Times New Roman"/>
                <w:b/>
                <w:bCs/>
                <w:color w:val="auto"/>
                <w:kern w:val="0"/>
                <w:szCs w:val="21"/>
              </w:rPr>
            </w:pPr>
            <w:r>
              <w:rPr>
                <w:rFonts w:hint="default" w:ascii="Times New Roman" w:hAnsi="Times New Roman" w:cs="Times New Roman"/>
                <w:b/>
                <w:bCs/>
                <w:color w:val="auto"/>
              </w:rPr>
              <w:t>206</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both"/>
              <w:outlineLvl w:val="9"/>
              <w:rPr>
                <w:rFonts w:hint="default" w:ascii="Times New Roman" w:hAnsi="Times New Roman" w:eastAsia="仿宋_GB2312" w:cs="Times New Roman"/>
                <w:b/>
                <w:bCs/>
                <w:color w:val="auto"/>
                <w:kern w:val="0"/>
                <w:szCs w:val="21"/>
              </w:rPr>
            </w:pPr>
            <w:r>
              <w:rPr>
                <w:rFonts w:hint="default" w:ascii="Times New Roman" w:hAnsi="Times New Roman" w:cs="Times New Roman"/>
                <w:b/>
                <w:bCs/>
                <w:color w:val="auto"/>
              </w:rPr>
              <w:t>科学技术支出</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lang w:val="en-US"/>
              </w:rPr>
            </w:pPr>
            <w:r>
              <w:rPr>
                <w:rFonts w:hint="default" w:ascii="Times New Roman" w:hAnsi="Times New Roman" w:eastAsia="宋体" w:cs="Times New Roman"/>
                <w:b/>
                <w:bCs/>
                <w:i w:val="0"/>
                <w:color w:val="auto"/>
                <w:kern w:val="0"/>
                <w:sz w:val="20"/>
                <w:szCs w:val="20"/>
                <w:u w:val="none"/>
                <w:lang w:val="en-US" w:eastAsia="zh-CN" w:bidi="ar"/>
              </w:rPr>
              <w:t>242.58</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rPr>
            </w:pPr>
            <w:r>
              <w:rPr>
                <w:rFonts w:hint="default" w:ascii="Times New Roman" w:hAnsi="Times New Roman" w:eastAsia="宋体" w:cs="Times New Roman"/>
                <w:b/>
                <w:bCs/>
                <w:i w:val="0"/>
                <w:color w:val="auto"/>
                <w:kern w:val="0"/>
                <w:sz w:val="20"/>
                <w:szCs w:val="20"/>
                <w:u w:val="none"/>
                <w:lang w:val="en-US" w:eastAsia="zh-CN" w:bidi="ar"/>
              </w:rPr>
              <w:t>95.18</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lang w:val="en-US"/>
              </w:rPr>
            </w:pPr>
            <w:r>
              <w:rPr>
                <w:rFonts w:hint="default" w:ascii="Times New Roman" w:hAnsi="Times New Roman" w:eastAsia="宋体" w:cs="Times New Roman"/>
                <w:b/>
                <w:bCs/>
                <w:i w:val="0"/>
                <w:color w:val="auto"/>
                <w:kern w:val="0"/>
                <w:sz w:val="20"/>
                <w:szCs w:val="20"/>
                <w:u w:val="none"/>
                <w:lang w:val="en-US" w:eastAsia="zh-CN" w:bidi="ar"/>
              </w:rPr>
              <w:t>147.</w:t>
            </w:r>
            <w:r>
              <w:rPr>
                <w:rFonts w:hint="eastAsia" w:ascii="Times New Roman" w:hAnsi="Times New Roman" w:eastAsia="宋体" w:cs="Times New Roman"/>
                <w:b/>
                <w:bCs/>
                <w:i w:val="0"/>
                <w:color w:val="auto"/>
                <w:kern w:val="0"/>
                <w:sz w:val="20"/>
                <w:szCs w:val="20"/>
                <w:u w:val="none"/>
                <w:lang w:val="en-US" w:eastAsia="zh-CN" w:bidi="ar"/>
              </w:rPr>
              <w:t>40</w:t>
            </w:r>
          </w:p>
        </w:tc>
      </w:tr>
      <w:tr>
        <w:tblPrEx>
          <w:tblCellMar>
            <w:top w:w="0" w:type="dxa"/>
            <w:left w:w="108" w:type="dxa"/>
            <w:bottom w:w="0" w:type="dxa"/>
            <w:right w:w="108" w:type="dxa"/>
          </w:tblCellMar>
        </w:tblPrEx>
        <w:trPr>
          <w:trHeight w:val="354"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both"/>
              <w:outlineLvl w:val="9"/>
              <w:rPr>
                <w:rFonts w:hint="default" w:ascii="Times New Roman" w:hAnsi="Times New Roman" w:cs="Times New Roman" w:eastAsiaTheme="minorEastAsia"/>
                <w:b/>
                <w:bCs/>
                <w:color w:val="auto"/>
                <w:lang w:val="en-US" w:eastAsia="zh-CN"/>
              </w:rPr>
            </w:pPr>
            <w:r>
              <w:rPr>
                <w:rFonts w:hint="default" w:ascii="Times New Roman" w:hAnsi="Times New Roman" w:cs="Times New Roman"/>
                <w:b/>
                <w:bCs/>
                <w:color w:val="auto"/>
                <w:lang w:val="en-US" w:eastAsia="zh-CN"/>
              </w:rPr>
              <w:t>20602</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both"/>
              <w:outlineLvl w:val="9"/>
              <w:rPr>
                <w:rFonts w:hint="default" w:ascii="Times New Roman" w:hAnsi="Times New Roman" w:cs="Times New Roman"/>
                <w:b/>
                <w:bCs/>
                <w:color w:val="auto"/>
              </w:rPr>
            </w:pPr>
            <w:r>
              <w:rPr>
                <w:rFonts w:hint="default" w:ascii="Times New Roman" w:hAnsi="Times New Roman" w:cs="Times New Roman"/>
                <w:b/>
                <w:bCs/>
                <w:color w:val="auto"/>
                <w:lang w:val="en-US" w:eastAsia="zh-CN"/>
              </w:rPr>
              <w:t>基础研究</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rPr>
            </w:pPr>
            <w:r>
              <w:rPr>
                <w:rFonts w:hint="default" w:ascii="Times New Roman" w:hAnsi="Times New Roman" w:eastAsia="宋体" w:cs="Times New Roman"/>
                <w:b/>
                <w:bCs/>
                <w:i w:val="0"/>
                <w:color w:val="auto"/>
                <w:kern w:val="0"/>
                <w:sz w:val="20"/>
                <w:szCs w:val="20"/>
                <w:u w:val="none"/>
                <w:lang w:val="en-US" w:eastAsia="zh-CN" w:bidi="ar"/>
              </w:rPr>
              <w:t>0.00</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color w:val="auto"/>
                <w:kern w:val="0"/>
                <w:sz w:val="20"/>
                <w:szCs w:val="20"/>
                <w:u w:val="none"/>
                <w:lang w:val="en-US" w:eastAsia="zh-CN" w:bidi="ar"/>
              </w:rPr>
            </w:pPr>
            <w:r>
              <w:rPr>
                <w:rFonts w:hint="default" w:ascii="Times New Roman" w:hAnsi="Times New Roman" w:eastAsia="宋体" w:cs="Times New Roman"/>
                <w:b/>
                <w:bCs/>
                <w:i w:val="0"/>
                <w:color w:val="auto"/>
                <w:kern w:val="0"/>
                <w:sz w:val="20"/>
                <w:szCs w:val="20"/>
                <w:u w:val="none"/>
                <w:lang w:val="en-US" w:eastAsia="zh-CN" w:bidi="ar"/>
              </w:rPr>
              <w:t>0.00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color w:val="auto"/>
                <w:kern w:val="0"/>
                <w:sz w:val="20"/>
                <w:szCs w:val="20"/>
                <w:u w:val="none"/>
                <w:lang w:val="en-US" w:eastAsia="zh-CN" w:bidi="ar"/>
              </w:rPr>
            </w:pPr>
            <w:r>
              <w:rPr>
                <w:rFonts w:hint="default" w:ascii="Times New Roman" w:hAnsi="Times New Roman" w:eastAsia="宋体" w:cs="Times New Roman"/>
                <w:b/>
                <w:bCs/>
                <w:i w:val="0"/>
                <w:color w:val="auto"/>
                <w:kern w:val="0"/>
                <w:sz w:val="20"/>
                <w:szCs w:val="20"/>
                <w:u w:val="none"/>
                <w:lang w:val="en-US" w:eastAsia="zh-CN" w:bidi="ar"/>
              </w:rPr>
              <w:t>0.00</w:t>
            </w:r>
          </w:p>
        </w:tc>
      </w:tr>
      <w:tr>
        <w:tblPrEx>
          <w:tblCellMar>
            <w:top w:w="0" w:type="dxa"/>
            <w:left w:w="108" w:type="dxa"/>
            <w:bottom w:w="0" w:type="dxa"/>
            <w:right w:w="108" w:type="dxa"/>
          </w:tblCellMar>
        </w:tblPrEx>
        <w:trPr>
          <w:trHeight w:val="33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both"/>
              <w:outlineLvl w:val="9"/>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lang w:val="en-US" w:eastAsia="zh-CN"/>
              </w:rPr>
              <w:t>2060208</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both"/>
              <w:outlineLvl w:val="9"/>
              <w:rPr>
                <w:rFonts w:hint="default" w:ascii="Times New Roman" w:hAnsi="Times New Roman" w:cs="Times New Roman"/>
                <w:color w:val="auto"/>
              </w:rPr>
            </w:pPr>
            <w:r>
              <w:rPr>
                <w:rFonts w:hint="default" w:ascii="Times New Roman" w:hAnsi="Times New Roman" w:cs="Times New Roman"/>
                <w:color w:val="auto"/>
                <w:lang w:val="en-US" w:eastAsia="zh-CN"/>
              </w:rPr>
              <w:t>科技人才队伍建设</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color w:val="auto"/>
                <w:kern w:val="0"/>
                <w:szCs w:val="21"/>
              </w:rPr>
            </w:pPr>
            <w:r>
              <w:rPr>
                <w:rFonts w:hint="default" w:ascii="Times New Roman" w:hAnsi="Times New Roman" w:eastAsia="宋体" w:cs="Times New Roman"/>
                <w:b w:val="0"/>
                <w:bCs w:val="0"/>
                <w:i w:val="0"/>
                <w:color w:val="auto"/>
                <w:kern w:val="0"/>
                <w:sz w:val="20"/>
                <w:szCs w:val="20"/>
                <w:u w:val="none"/>
                <w:lang w:val="en-US" w:eastAsia="zh-CN" w:bidi="ar"/>
              </w:rPr>
              <w:t>0.00</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val="0"/>
                <w:bCs w:val="0"/>
                <w:i w:val="0"/>
                <w:color w:val="auto"/>
                <w:kern w:val="0"/>
                <w:sz w:val="20"/>
                <w:szCs w:val="20"/>
                <w:u w:val="none"/>
                <w:lang w:val="en-US" w:eastAsia="zh-CN" w:bidi="ar"/>
              </w:rPr>
            </w:pPr>
            <w:r>
              <w:rPr>
                <w:rFonts w:hint="default" w:ascii="Times New Roman" w:hAnsi="Times New Roman" w:eastAsia="宋体" w:cs="Times New Roman"/>
                <w:b w:val="0"/>
                <w:bCs w:val="0"/>
                <w:i w:val="0"/>
                <w:color w:val="auto"/>
                <w:kern w:val="0"/>
                <w:sz w:val="20"/>
                <w:szCs w:val="20"/>
                <w:u w:val="none"/>
                <w:lang w:val="en-US" w:eastAsia="zh-CN" w:bidi="ar"/>
              </w:rPr>
              <w:t>0.00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val="0"/>
                <w:bCs w:val="0"/>
                <w:i w:val="0"/>
                <w:color w:val="auto"/>
                <w:kern w:val="0"/>
                <w:sz w:val="20"/>
                <w:szCs w:val="20"/>
                <w:u w:val="none"/>
                <w:lang w:val="en-US" w:eastAsia="zh-CN" w:bidi="ar"/>
              </w:rPr>
            </w:pPr>
            <w:r>
              <w:rPr>
                <w:rFonts w:hint="default" w:ascii="Times New Roman" w:hAnsi="Times New Roman" w:eastAsia="宋体" w:cs="Times New Roman"/>
                <w:b w:val="0"/>
                <w:bCs w:val="0"/>
                <w:i w:val="0"/>
                <w:color w:val="auto"/>
                <w:kern w:val="0"/>
                <w:sz w:val="20"/>
                <w:szCs w:val="20"/>
                <w:u w:val="none"/>
                <w:lang w:val="en-US" w:eastAsia="zh-CN" w:bidi="ar"/>
              </w:rPr>
              <w:t>0.00</w:t>
            </w:r>
          </w:p>
        </w:tc>
      </w:tr>
      <w:tr>
        <w:tblPrEx>
          <w:tblCellMar>
            <w:top w:w="0" w:type="dxa"/>
            <w:left w:w="108" w:type="dxa"/>
            <w:bottom w:w="0" w:type="dxa"/>
            <w:right w:w="108" w:type="dxa"/>
          </w:tblCellMar>
        </w:tblPrEx>
        <w:trPr>
          <w:trHeight w:val="318"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both"/>
              <w:outlineLvl w:val="9"/>
              <w:rPr>
                <w:rFonts w:hint="default" w:ascii="Times New Roman" w:hAnsi="Times New Roman" w:eastAsia="仿宋_GB2312" w:cs="Times New Roman"/>
                <w:b/>
                <w:bCs/>
                <w:color w:val="auto"/>
                <w:kern w:val="0"/>
                <w:szCs w:val="21"/>
              </w:rPr>
            </w:pPr>
            <w:r>
              <w:rPr>
                <w:rFonts w:hint="default" w:ascii="Times New Roman" w:hAnsi="Times New Roman" w:cs="Times New Roman"/>
                <w:b/>
                <w:bCs/>
                <w:color w:val="auto"/>
              </w:rPr>
              <w:t>20603</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both"/>
              <w:outlineLvl w:val="9"/>
              <w:rPr>
                <w:rFonts w:hint="default" w:ascii="Times New Roman" w:hAnsi="Times New Roman" w:eastAsia="仿宋_GB2312" w:cs="Times New Roman"/>
                <w:b/>
                <w:bCs/>
                <w:color w:val="auto"/>
                <w:kern w:val="0"/>
                <w:szCs w:val="21"/>
              </w:rPr>
            </w:pPr>
            <w:r>
              <w:rPr>
                <w:rFonts w:hint="default" w:ascii="Times New Roman" w:hAnsi="Times New Roman" w:cs="Times New Roman"/>
                <w:b/>
                <w:bCs/>
                <w:color w:val="auto"/>
              </w:rPr>
              <w:t>应用研究</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lang w:val="en-US"/>
              </w:rPr>
            </w:pPr>
            <w:r>
              <w:rPr>
                <w:rFonts w:hint="default" w:ascii="Times New Roman" w:hAnsi="Times New Roman" w:eastAsia="宋体" w:cs="Times New Roman"/>
                <w:b/>
                <w:bCs/>
                <w:i w:val="0"/>
                <w:color w:val="auto"/>
                <w:kern w:val="0"/>
                <w:sz w:val="20"/>
                <w:szCs w:val="20"/>
                <w:u w:val="none"/>
                <w:lang w:val="en-US" w:eastAsia="zh-CN" w:bidi="ar"/>
              </w:rPr>
              <w:t>201.93</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rPr>
            </w:pPr>
            <w:r>
              <w:rPr>
                <w:rFonts w:hint="default" w:ascii="Times New Roman" w:hAnsi="Times New Roman" w:eastAsia="宋体" w:cs="Times New Roman"/>
                <w:b/>
                <w:bCs/>
                <w:i w:val="0"/>
                <w:color w:val="auto"/>
                <w:kern w:val="0"/>
                <w:sz w:val="20"/>
                <w:szCs w:val="20"/>
                <w:u w:val="none"/>
                <w:lang w:val="en-US" w:eastAsia="zh-CN" w:bidi="ar"/>
              </w:rPr>
              <w:t>95.18</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rPr>
            </w:pPr>
            <w:r>
              <w:rPr>
                <w:rFonts w:hint="default" w:ascii="Times New Roman" w:hAnsi="Times New Roman" w:eastAsia="宋体" w:cs="Times New Roman"/>
                <w:b/>
                <w:bCs/>
                <w:i w:val="0"/>
                <w:color w:val="auto"/>
                <w:kern w:val="0"/>
                <w:sz w:val="20"/>
                <w:szCs w:val="20"/>
                <w:u w:val="none"/>
                <w:lang w:val="en-US" w:eastAsia="zh-CN" w:bidi="ar"/>
              </w:rPr>
              <w:t>106.75</w:t>
            </w:r>
          </w:p>
        </w:tc>
      </w:tr>
      <w:tr>
        <w:tblPrEx>
          <w:tblCellMar>
            <w:top w:w="0" w:type="dxa"/>
            <w:left w:w="108" w:type="dxa"/>
            <w:bottom w:w="0" w:type="dxa"/>
            <w:right w:w="108" w:type="dxa"/>
          </w:tblCellMar>
        </w:tblPrEx>
        <w:trPr>
          <w:trHeight w:val="354"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both"/>
              <w:outlineLvl w:val="9"/>
              <w:rPr>
                <w:rFonts w:hint="default" w:ascii="Times New Roman" w:hAnsi="Times New Roman" w:eastAsia="仿宋_GB2312" w:cs="Times New Roman"/>
                <w:color w:val="auto"/>
                <w:kern w:val="0"/>
                <w:szCs w:val="21"/>
              </w:rPr>
            </w:pPr>
            <w:r>
              <w:rPr>
                <w:rFonts w:hint="default" w:ascii="Times New Roman" w:hAnsi="Times New Roman" w:cs="Times New Roman"/>
                <w:color w:val="auto"/>
              </w:rPr>
              <w:t>2060301</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default" w:ascii="Times New Roman" w:hAnsi="Times New Roman" w:eastAsia="仿宋_GB2312" w:cs="Times New Roman"/>
                <w:color w:val="auto"/>
                <w:kern w:val="0"/>
                <w:szCs w:val="21"/>
              </w:rPr>
            </w:pPr>
            <w:r>
              <w:rPr>
                <w:rFonts w:hint="default" w:ascii="Times New Roman" w:hAnsi="Times New Roman" w:eastAsia="宋体" w:cs="Times New Roman"/>
                <w:i w:val="0"/>
                <w:color w:val="auto"/>
                <w:kern w:val="0"/>
                <w:sz w:val="20"/>
                <w:szCs w:val="20"/>
                <w:u w:val="none"/>
                <w:lang w:val="en-US" w:eastAsia="zh-CN" w:bidi="ar"/>
              </w:rPr>
              <w:t>机构运行</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color w:val="auto"/>
                <w:kern w:val="0"/>
                <w:szCs w:val="21"/>
              </w:rPr>
            </w:pPr>
            <w:r>
              <w:rPr>
                <w:rFonts w:hint="default" w:ascii="Times New Roman" w:hAnsi="Times New Roman" w:eastAsia="宋体" w:cs="Times New Roman"/>
                <w:b w:val="0"/>
                <w:bCs w:val="0"/>
                <w:i w:val="0"/>
                <w:color w:val="auto"/>
                <w:kern w:val="0"/>
                <w:sz w:val="20"/>
                <w:szCs w:val="20"/>
                <w:u w:val="none"/>
                <w:lang w:val="en-US" w:eastAsia="zh-CN" w:bidi="ar"/>
              </w:rPr>
              <w:t>95.18</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color w:val="auto"/>
                <w:kern w:val="0"/>
                <w:szCs w:val="21"/>
              </w:rPr>
            </w:pPr>
            <w:r>
              <w:rPr>
                <w:rFonts w:hint="default" w:ascii="Times New Roman" w:hAnsi="Times New Roman" w:eastAsia="宋体" w:cs="Times New Roman"/>
                <w:b w:val="0"/>
                <w:bCs w:val="0"/>
                <w:i w:val="0"/>
                <w:color w:val="auto"/>
                <w:kern w:val="0"/>
                <w:sz w:val="20"/>
                <w:szCs w:val="20"/>
                <w:u w:val="none"/>
                <w:lang w:val="en-US" w:eastAsia="zh-CN" w:bidi="ar"/>
              </w:rPr>
              <w:t>95.18</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color w:val="auto"/>
                <w:kern w:val="0"/>
                <w:szCs w:val="21"/>
              </w:rPr>
            </w:pPr>
            <w:r>
              <w:rPr>
                <w:rFonts w:hint="default" w:ascii="Times New Roman" w:hAnsi="Times New Roman" w:eastAsia="宋体" w:cs="Times New Roman"/>
                <w:b w:val="0"/>
                <w:bCs w:val="0"/>
                <w:i w:val="0"/>
                <w:color w:val="auto"/>
                <w:kern w:val="0"/>
                <w:sz w:val="20"/>
                <w:szCs w:val="20"/>
                <w:u w:val="none"/>
                <w:lang w:val="en-US" w:eastAsia="zh-CN" w:bidi="ar"/>
              </w:rPr>
              <w:t>0.00</w:t>
            </w:r>
          </w:p>
        </w:tc>
      </w:tr>
      <w:tr>
        <w:tblPrEx>
          <w:tblCellMar>
            <w:top w:w="0" w:type="dxa"/>
            <w:left w:w="108" w:type="dxa"/>
            <w:bottom w:w="0" w:type="dxa"/>
            <w:right w:w="108" w:type="dxa"/>
          </w:tblCellMar>
        </w:tblPrEx>
        <w:trPr>
          <w:trHeight w:val="402"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both"/>
              <w:outlineLvl w:val="9"/>
              <w:rPr>
                <w:rFonts w:hint="default" w:ascii="Times New Roman" w:hAnsi="Times New Roman" w:eastAsia="仿宋_GB2312" w:cs="Times New Roman"/>
                <w:color w:val="auto"/>
                <w:kern w:val="0"/>
                <w:szCs w:val="21"/>
              </w:rPr>
            </w:pPr>
            <w:r>
              <w:rPr>
                <w:rFonts w:hint="default" w:ascii="Times New Roman" w:hAnsi="Times New Roman" w:cs="Times New Roman"/>
                <w:color w:val="auto"/>
              </w:rPr>
              <w:t>2060302</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default" w:ascii="Times New Roman" w:hAnsi="Times New Roman" w:eastAsia="仿宋_GB2312" w:cs="Times New Roman"/>
                <w:color w:val="auto"/>
                <w:kern w:val="0"/>
                <w:szCs w:val="21"/>
              </w:rPr>
            </w:pPr>
            <w:r>
              <w:rPr>
                <w:rFonts w:hint="default" w:ascii="Times New Roman" w:hAnsi="Times New Roman" w:eastAsia="宋体" w:cs="Times New Roman"/>
                <w:i w:val="0"/>
                <w:color w:val="auto"/>
                <w:kern w:val="0"/>
                <w:sz w:val="20"/>
                <w:szCs w:val="20"/>
                <w:u w:val="none"/>
                <w:lang w:val="en-US" w:eastAsia="zh-CN" w:bidi="ar"/>
              </w:rPr>
              <w:t>社会公益研究</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color w:val="auto"/>
                <w:kern w:val="0"/>
                <w:szCs w:val="21"/>
                <w:lang w:val="en-US"/>
              </w:rPr>
            </w:pPr>
            <w:r>
              <w:rPr>
                <w:rFonts w:hint="default" w:ascii="Times New Roman" w:hAnsi="Times New Roman" w:eastAsia="宋体" w:cs="Times New Roman"/>
                <w:b w:val="0"/>
                <w:bCs w:val="0"/>
                <w:i w:val="0"/>
                <w:color w:val="auto"/>
                <w:kern w:val="0"/>
                <w:sz w:val="20"/>
                <w:szCs w:val="20"/>
                <w:u w:val="none"/>
                <w:lang w:val="en-US" w:eastAsia="zh-CN" w:bidi="ar"/>
              </w:rPr>
              <w:t>106.75</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color w:val="auto"/>
                <w:kern w:val="0"/>
                <w:szCs w:val="21"/>
              </w:rPr>
            </w:pPr>
            <w:r>
              <w:rPr>
                <w:rFonts w:hint="default" w:ascii="Times New Roman" w:hAnsi="Times New Roman" w:eastAsia="宋体" w:cs="Times New Roman"/>
                <w:b w:val="0"/>
                <w:bCs w:val="0"/>
                <w:i w:val="0"/>
                <w:color w:val="auto"/>
                <w:kern w:val="0"/>
                <w:sz w:val="20"/>
                <w:szCs w:val="20"/>
                <w:u w:val="none"/>
                <w:lang w:val="en-US" w:eastAsia="zh-CN" w:bidi="ar"/>
              </w:rPr>
              <w:t>0.00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color w:val="auto"/>
                <w:kern w:val="0"/>
                <w:szCs w:val="21"/>
              </w:rPr>
            </w:pPr>
            <w:r>
              <w:rPr>
                <w:rFonts w:hint="default" w:ascii="Times New Roman" w:hAnsi="Times New Roman" w:eastAsia="宋体" w:cs="Times New Roman"/>
                <w:b w:val="0"/>
                <w:bCs w:val="0"/>
                <w:i w:val="0"/>
                <w:color w:val="auto"/>
                <w:kern w:val="0"/>
                <w:sz w:val="20"/>
                <w:szCs w:val="20"/>
                <w:u w:val="none"/>
                <w:lang w:val="en-US" w:eastAsia="zh-CN" w:bidi="ar"/>
              </w:rPr>
              <w:t>106.75</w:t>
            </w:r>
          </w:p>
        </w:tc>
      </w:tr>
      <w:tr>
        <w:tblPrEx>
          <w:tblCellMar>
            <w:top w:w="0" w:type="dxa"/>
            <w:left w:w="108" w:type="dxa"/>
            <w:bottom w:w="0" w:type="dxa"/>
            <w:right w:w="108" w:type="dxa"/>
          </w:tblCellMar>
        </w:tblPrEx>
        <w:trPr>
          <w:trHeight w:val="378"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both"/>
              <w:outlineLvl w:val="9"/>
              <w:rPr>
                <w:rFonts w:hint="default" w:ascii="Times New Roman" w:hAnsi="Times New Roman" w:eastAsia="仿宋_GB2312" w:cs="Times New Roman"/>
                <w:b/>
                <w:bCs/>
                <w:color w:val="auto"/>
                <w:kern w:val="0"/>
                <w:szCs w:val="21"/>
              </w:rPr>
            </w:pPr>
            <w:r>
              <w:rPr>
                <w:rFonts w:hint="default" w:ascii="Times New Roman" w:hAnsi="Times New Roman" w:cs="Times New Roman"/>
                <w:b/>
                <w:bCs/>
                <w:color w:val="auto"/>
              </w:rPr>
              <w:t>20605</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default" w:ascii="Times New Roman" w:hAnsi="Times New Roman" w:eastAsia="仿宋_GB2312" w:cs="Times New Roman"/>
                <w:b/>
                <w:bCs/>
                <w:color w:val="auto"/>
                <w:kern w:val="0"/>
                <w:szCs w:val="21"/>
              </w:rPr>
            </w:pPr>
            <w:r>
              <w:rPr>
                <w:rFonts w:hint="default" w:ascii="Times New Roman" w:hAnsi="Times New Roman" w:eastAsia="宋体" w:cs="Times New Roman"/>
                <w:b/>
                <w:bCs/>
                <w:i w:val="0"/>
                <w:color w:val="auto"/>
                <w:kern w:val="0"/>
                <w:sz w:val="20"/>
                <w:szCs w:val="20"/>
                <w:u w:val="none"/>
                <w:lang w:val="en-US" w:eastAsia="zh-CN" w:bidi="ar"/>
              </w:rPr>
              <w:t>科技条件与服务</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lang w:val="en-US"/>
              </w:rPr>
            </w:pPr>
            <w:r>
              <w:rPr>
                <w:rFonts w:hint="default" w:ascii="Times New Roman" w:hAnsi="Times New Roman" w:eastAsia="宋体" w:cs="Times New Roman"/>
                <w:b/>
                <w:bCs/>
                <w:i w:val="0"/>
                <w:color w:val="auto"/>
                <w:kern w:val="0"/>
                <w:sz w:val="20"/>
                <w:szCs w:val="20"/>
                <w:u w:val="none"/>
                <w:lang w:val="en-US" w:eastAsia="zh-CN" w:bidi="ar"/>
              </w:rPr>
              <w:t>40.65</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rPr>
            </w:pPr>
            <w:r>
              <w:rPr>
                <w:rFonts w:hint="default" w:ascii="Times New Roman" w:hAnsi="Times New Roman" w:eastAsia="宋体" w:cs="Times New Roman"/>
                <w:b/>
                <w:bCs/>
                <w:i w:val="0"/>
                <w:color w:val="auto"/>
                <w:kern w:val="0"/>
                <w:sz w:val="20"/>
                <w:szCs w:val="20"/>
                <w:u w:val="none"/>
                <w:lang w:val="en-US" w:eastAsia="zh-CN" w:bidi="ar"/>
              </w:rPr>
              <w:t>0.00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rPr>
            </w:pPr>
            <w:r>
              <w:rPr>
                <w:rFonts w:hint="default" w:ascii="Times New Roman" w:hAnsi="Times New Roman" w:eastAsia="宋体" w:cs="Times New Roman"/>
                <w:b/>
                <w:bCs/>
                <w:i w:val="0"/>
                <w:color w:val="auto"/>
                <w:kern w:val="0"/>
                <w:sz w:val="20"/>
                <w:szCs w:val="20"/>
                <w:u w:val="none"/>
                <w:lang w:val="en-US" w:eastAsia="zh-CN" w:bidi="ar"/>
              </w:rPr>
              <w:t>40.65</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both"/>
              <w:outlineLvl w:val="9"/>
              <w:rPr>
                <w:rFonts w:hint="default" w:ascii="Times New Roman" w:hAnsi="Times New Roman" w:eastAsia="仿宋_GB2312" w:cs="Times New Roman"/>
                <w:color w:val="auto"/>
                <w:kern w:val="0"/>
                <w:szCs w:val="21"/>
              </w:rPr>
            </w:pPr>
            <w:r>
              <w:rPr>
                <w:rFonts w:hint="default" w:ascii="Times New Roman" w:hAnsi="Times New Roman" w:cs="Times New Roman"/>
                <w:color w:val="auto"/>
              </w:rPr>
              <w:t>2060599</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default" w:ascii="Times New Roman" w:hAnsi="Times New Roman" w:eastAsia="仿宋_GB2312" w:cs="Times New Roman"/>
                <w:color w:val="auto"/>
                <w:kern w:val="0"/>
                <w:szCs w:val="21"/>
              </w:rPr>
            </w:pPr>
            <w:r>
              <w:rPr>
                <w:rFonts w:hint="default" w:ascii="Times New Roman" w:hAnsi="Times New Roman" w:eastAsia="宋体" w:cs="Times New Roman"/>
                <w:i w:val="0"/>
                <w:color w:val="auto"/>
                <w:kern w:val="0"/>
                <w:sz w:val="20"/>
                <w:szCs w:val="20"/>
                <w:u w:val="none"/>
                <w:lang w:val="en-US" w:eastAsia="zh-CN" w:bidi="ar"/>
              </w:rPr>
              <w:t>其他科技条件与服务支出</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color w:val="auto"/>
                <w:kern w:val="0"/>
                <w:szCs w:val="21"/>
                <w:lang w:val="en-US"/>
              </w:rPr>
            </w:pPr>
            <w:r>
              <w:rPr>
                <w:rFonts w:hint="default" w:ascii="Times New Roman" w:hAnsi="Times New Roman" w:eastAsia="宋体" w:cs="Times New Roman"/>
                <w:b w:val="0"/>
                <w:bCs w:val="0"/>
                <w:i w:val="0"/>
                <w:color w:val="auto"/>
                <w:kern w:val="0"/>
                <w:sz w:val="20"/>
                <w:szCs w:val="20"/>
                <w:u w:val="none"/>
                <w:lang w:val="en-US" w:eastAsia="zh-CN" w:bidi="ar"/>
              </w:rPr>
              <w:t>40.65</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color w:val="auto"/>
                <w:kern w:val="0"/>
                <w:szCs w:val="21"/>
              </w:rPr>
            </w:pPr>
            <w:r>
              <w:rPr>
                <w:rFonts w:hint="default" w:ascii="Times New Roman" w:hAnsi="Times New Roman" w:eastAsia="宋体" w:cs="Times New Roman"/>
                <w:b w:val="0"/>
                <w:bCs w:val="0"/>
                <w:i w:val="0"/>
                <w:color w:val="auto"/>
                <w:kern w:val="0"/>
                <w:sz w:val="20"/>
                <w:szCs w:val="20"/>
                <w:u w:val="none"/>
                <w:lang w:val="en-US" w:eastAsia="zh-CN" w:bidi="ar"/>
              </w:rPr>
              <w:t>0.00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color w:val="auto"/>
                <w:kern w:val="0"/>
                <w:szCs w:val="21"/>
              </w:rPr>
            </w:pPr>
            <w:r>
              <w:rPr>
                <w:rFonts w:hint="default" w:ascii="Times New Roman" w:hAnsi="Times New Roman" w:eastAsia="宋体" w:cs="Times New Roman"/>
                <w:b w:val="0"/>
                <w:bCs w:val="0"/>
                <w:i w:val="0"/>
                <w:color w:val="auto"/>
                <w:kern w:val="0"/>
                <w:sz w:val="20"/>
                <w:szCs w:val="20"/>
                <w:u w:val="none"/>
                <w:lang w:val="en-US" w:eastAsia="zh-CN" w:bidi="ar"/>
              </w:rPr>
              <w:t>40.65</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both"/>
              <w:outlineLvl w:val="9"/>
              <w:rPr>
                <w:rFonts w:hint="default" w:ascii="Times New Roman" w:hAnsi="Times New Roman" w:eastAsia="仿宋_GB2312" w:cs="Times New Roman"/>
                <w:b/>
                <w:bCs/>
                <w:color w:val="auto"/>
                <w:kern w:val="0"/>
                <w:szCs w:val="21"/>
              </w:rPr>
            </w:pPr>
            <w:r>
              <w:rPr>
                <w:rFonts w:hint="default" w:ascii="Times New Roman" w:hAnsi="Times New Roman" w:cs="Times New Roman"/>
                <w:b/>
                <w:bCs/>
                <w:color w:val="auto"/>
              </w:rPr>
              <w:t>208</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default" w:ascii="Times New Roman" w:hAnsi="Times New Roman" w:eastAsia="仿宋_GB2312" w:cs="Times New Roman"/>
                <w:b/>
                <w:bCs/>
                <w:color w:val="auto"/>
                <w:kern w:val="0"/>
                <w:szCs w:val="21"/>
              </w:rPr>
            </w:pPr>
            <w:r>
              <w:rPr>
                <w:rFonts w:hint="default" w:ascii="Times New Roman" w:hAnsi="Times New Roman" w:eastAsia="宋体" w:cs="Times New Roman"/>
                <w:b/>
                <w:bCs/>
                <w:i w:val="0"/>
                <w:color w:val="auto"/>
                <w:kern w:val="0"/>
                <w:sz w:val="20"/>
                <w:szCs w:val="20"/>
                <w:u w:val="none"/>
                <w:lang w:val="en-US" w:eastAsia="zh-CN" w:bidi="ar"/>
              </w:rPr>
              <w:t>社会保障和就业支出</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rPr>
            </w:pPr>
            <w:r>
              <w:rPr>
                <w:rFonts w:hint="default" w:ascii="Times New Roman" w:hAnsi="Times New Roman" w:eastAsia="宋体" w:cs="Times New Roman"/>
                <w:b/>
                <w:bCs/>
                <w:i w:val="0"/>
                <w:color w:val="auto"/>
                <w:kern w:val="0"/>
                <w:sz w:val="20"/>
                <w:szCs w:val="20"/>
                <w:u w:val="none"/>
                <w:lang w:val="en-US" w:eastAsia="zh-CN" w:bidi="ar"/>
              </w:rPr>
              <w:t>14.04</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rPr>
            </w:pPr>
            <w:r>
              <w:rPr>
                <w:rFonts w:hint="default" w:ascii="Times New Roman" w:hAnsi="Times New Roman" w:eastAsia="宋体" w:cs="Times New Roman"/>
                <w:b/>
                <w:bCs/>
                <w:i w:val="0"/>
                <w:color w:val="auto"/>
                <w:kern w:val="0"/>
                <w:sz w:val="20"/>
                <w:szCs w:val="20"/>
                <w:u w:val="none"/>
                <w:lang w:val="en-US" w:eastAsia="zh-CN" w:bidi="ar"/>
              </w:rPr>
              <w:t>14.04</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rPr>
            </w:pPr>
            <w:r>
              <w:rPr>
                <w:rFonts w:hint="default" w:ascii="Times New Roman" w:hAnsi="Times New Roman" w:eastAsia="宋体" w:cs="Times New Roman"/>
                <w:b/>
                <w:bCs/>
                <w:i w:val="0"/>
                <w:color w:val="auto"/>
                <w:kern w:val="0"/>
                <w:sz w:val="20"/>
                <w:szCs w:val="20"/>
                <w:u w:val="none"/>
                <w:lang w:val="en-US" w:eastAsia="zh-CN" w:bidi="ar"/>
              </w:rPr>
              <w:t>0.00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both"/>
              <w:outlineLvl w:val="9"/>
              <w:rPr>
                <w:rFonts w:hint="default" w:ascii="Times New Roman" w:hAnsi="Times New Roman" w:eastAsia="仿宋_GB2312" w:cs="Times New Roman"/>
                <w:b/>
                <w:bCs/>
                <w:color w:val="auto"/>
                <w:kern w:val="0"/>
                <w:szCs w:val="21"/>
              </w:rPr>
            </w:pPr>
            <w:r>
              <w:rPr>
                <w:rFonts w:hint="default" w:ascii="Times New Roman" w:hAnsi="Times New Roman" w:cs="Times New Roman"/>
                <w:b/>
                <w:bCs/>
                <w:color w:val="auto"/>
                <w:lang w:val="en-US" w:eastAsia="zh-CN"/>
              </w:rPr>
              <w:t>20805</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default" w:ascii="Times New Roman" w:hAnsi="Times New Roman" w:eastAsia="仿宋_GB2312" w:cs="Times New Roman"/>
                <w:b/>
                <w:bCs/>
                <w:color w:val="auto"/>
                <w:kern w:val="0"/>
                <w:szCs w:val="21"/>
              </w:rPr>
            </w:pPr>
            <w:r>
              <w:rPr>
                <w:rFonts w:hint="default" w:ascii="Times New Roman" w:hAnsi="Times New Roman" w:eastAsia="宋体" w:cs="Times New Roman"/>
                <w:b/>
                <w:bCs/>
                <w:i w:val="0"/>
                <w:color w:val="auto"/>
                <w:kern w:val="0"/>
                <w:sz w:val="20"/>
                <w:szCs w:val="20"/>
                <w:u w:val="none"/>
                <w:lang w:val="en-US" w:eastAsia="zh-CN" w:bidi="ar"/>
              </w:rPr>
              <w:t>行政事业单位养老支出</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rPr>
            </w:pPr>
            <w:r>
              <w:rPr>
                <w:rFonts w:hint="default" w:ascii="Times New Roman" w:hAnsi="Times New Roman" w:eastAsia="宋体" w:cs="Times New Roman"/>
                <w:b/>
                <w:bCs/>
                <w:i w:val="0"/>
                <w:color w:val="auto"/>
                <w:kern w:val="0"/>
                <w:sz w:val="20"/>
                <w:szCs w:val="20"/>
                <w:u w:val="none"/>
                <w:lang w:val="en-US" w:eastAsia="zh-CN" w:bidi="ar"/>
              </w:rPr>
              <w:t>14.04</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rPr>
            </w:pPr>
            <w:r>
              <w:rPr>
                <w:rFonts w:hint="default" w:ascii="Times New Roman" w:hAnsi="Times New Roman" w:eastAsia="宋体" w:cs="Times New Roman"/>
                <w:b/>
                <w:bCs/>
                <w:i w:val="0"/>
                <w:color w:val="auto"/>
                <w:kern w:val="0"/>
                <w:sz w:val="20"/>
                <w:szCs w:val="20"/>
                <w:u w:val="none"/>
                <w:lang w:val="en-US" w:eastAsia="zh-CN" w:bidi="ar"/>
              </w:rPr>
              <w:t>14.04</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rPr>
            </w:pPr>
            <w:r>
              <w:rPr>
                <w:rFonts w:hint="default" w:ascii="Times New Roman" w:hAnsi="Times New Roman" w:eastAsia="宋体" w:cs="Times New Roman"/>
                <w:b/>
                <w:bCs/>
                <w:i w:val="0"/>
                <w:color w:val="auto"/>
                <w:kern w:val="0"/>
                <w:sz w:val="20"/>
                <w:szCs w:val="20"/>
                <w:u w:val="none"/>
                <w:lang w:val="en-US" w:eastAsia="zh-CN" w:bidi="ar"/>
              </w:rPr>
              <w:t>0.00</w:t>
            </w:r>
          </w:p>
        </w:tc>
      </w:tr>
      <w:tr>
        <w:tblPrEx>
          <w:tblCellMar>
            <w:top w:w="0" w:type="dxa"/>
            <w:left w:w="108" w:type="dxa"/>
            <w:bottom w:w="0" w:type="dxa"/>
            <w:right w:w="108" w:type="dxa"/>
          </w:tblCellMar>
        </w:tblPrEx>
        <w:trPr>
          <w:trHeight w:val="366"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both"/>
              <w:outlineLvl w:val="9"/>
              <w:rPr>
                <w:rFonts w:hint="default" w:ascii="Times New Roman" w:hAnsi="Times New Roman" w:eastAsia="仿宋_GB2312" w:cs="Times New Roman"/>
                <w:color w:val="auto"/>
                <w:kern w:val="0"/>
                <w:szCs w:val="21"/>
              </w:rPr>
            </w:pPr>
            <w:r>
              <w:rPr>
                <w:rFonts w:hint="default" w:ascii="Times New Roman" w:hAnsi="Times New Roman" w:cs="Times New Roman"/>
                <w:color w:val="auto"/>
              </w:rPr>
              <w:t>2080505</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default" w:ascii="Times New Roman" w:hAnsi="Times New Roman" w:eastAsia="仿宋_GB2312" w:cs="Times New Roman"/>
                <w:color w:val="auto"/>
                <w:kern w:val="0"/>
                <w:szCs w:val="21"/>
              </w:rPr>
            </w:pPr>
            <w:r>
              <w:rPr>
                <w:rFonts w:hint="default" w:ascii="Times New Roman" w:hAnsi="Times New Roman" w:eastAsia="宋体" w:cs="Times New Roman"/>
                <w:i w:val="0"/>
                <w:color w:val="auto"/>
                <w:kern w:val="0"/>
                <w:sz w:val="20"/>
                <w:szCs w:val="20"/>
                <w:u w:val="none"/>
                <w:lang w:val="en-US" w:eastAsia="zh-CN" w:bidi="ar"/>
              </w:rPr>
              <w:t>机关事业单位基本养老保险缴费支出</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color w:val="auto"/>
                <w:kern w:val="0"/>
                <w:szCs w:val="21"/>
              </w:rPr>
            </w:pPr>
            <w:r>
              <w:rPr>
                <w:rFonts w:hint="default" w:ascii="Times New Roman" w:hAnsi="Times New Roman" w:eastAsia="宋体" w:cs="Times New Roman"/>
                <w:b w:val="0"/>
                <w:bCs w:val="0"/>
                <w:i w:val="0"/>
                <w:color w:val="auto"/>
                <w:kern w:val="0"/>
                <w:sz w:val="20"/>
                <w:szCs w:val="20"/>
                <w:u w:val="none"/>
                <w:lang w:val="en-US" w:eastAsia="zh-CN" w:bidi="ar"/>
              </w:rPr>
              <w:t>14.04</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color w:val="auto"/>
                <w:kern w:val="0"/>
                <w:szCs w:val="21"/>
              </w:rPr>
            </w:pPr>
            <w:r>
              <w:rPr>
                <w:rFonts w:hint="default" w:ascii="Times New Roman" w:hAnsi="Times New Roman" w:eastAsia="宋体" w:cs="Times New Roman"/>
                <w:b w:val="0"/>
                <w:bCs w:val="0"/>
                <w:i w:val="0"/>
                <w:color w:val="auto"/>
                <w:kern w:val="0"/>
                <w:sz w:val="20"/>
                <w:szCs w:val="20"/>
                <w:u w:val="none"/>
                <w:lang w:val="en-US" w:eastAsia="zh-CN" w:bidi="ar"/>
              </w:rPr>
              <w:t>14.04</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color w:val="auto"/>
                <w:kern w:val="0"/>
                <w:szCs w:val="21"/>
              </w:rPr>
            </w:pPr>
            <w:r>
              <w:rPr>
                <w:rFonts w:hint="default" w:ascii="Times New Roman" w:hAnsi="Times New Roman" w:eastAsia="宋体" w:cs="Times New Roman"/>
                <w:b w:val="0"/>
                <w:bCs w:val="0"/>
                <w:i w:val="0"/>
                <w:color w:val="auto"/>
                <w:kern w:val="0"/>
                <w:sz w:val="20"/>
                <w:szCs w:val="20"/>
                <w:u w:val="none"/>
                <w:lang w:val="en-US" w:eastAsia="zh-CN" w:bidi="ar"/>
              </w:rPr>
              <w:t>0.00</w:t>
            </w:r>
          </w:p>
        </w:tc>
      </w:tr>
      <w:tr>
        <w:tblPrEx>
          <w:tblCellMar>
            <w:top w:w="0" w:type="dxa"/>
            <w:left w:w="108" w:type="dxa"/>
            <w:bottom w:w="0" w:type="dxa"/>
            <w:right w:w="108" w:type="dxa"/>
          </w:tblCellMar>
        </w:tblPrEx>
        <w:trPr>
          <w:trHeight w:val="38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both"/>
              <w:outlineLvl w:val="9"/>
              <w:rPr>
                <w:rFonts w:hint="default" w:ascii="Times New Roman" w:hAnsi="Times New Roman" w:eastAsia="仿宋_GB2312" w:cs="Times New Roman"/>
                <w:b/>
                <w:bCs/>
                <w:color w:val="auto"/>
                <w:kern w:val="0"/>
                <w:szCs w:val="21"/>
              </w:rPr>
            </w:pPr>
            <w:r>
              <w:rPr>
                <w:rFonts w:hint="default" w:ascii="Times New Roman" w:hAnsi="Times New Roman" w:cs="Times New Roman"/>
                <w:b/>
                <w:bCs/>
                <w:color w:val="auto"/>
                <w:lang w:val="en-US" w:eastAsia="zh-CN"/>
              </w:rPr>
              <w:t>221</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default" w:ascii="Times New Roman" w:hAnsi="Times New Roman" w:eastAsia="仿宋_GB2312" w:cs="Times New Roman"/>
                <w:b/>
                <w:bCs/>
                <w:color w:val="auto"/>
                <w:kern w:val="0"/>
                <w:szCs w:val="21"/>
              </w:rPr>
            </w:pPr>
            <w:r>
              <w:rPr>
                <w:rFonts w:hint="default" w:ascii="Times New Roman" w:hAnsi="Times New Roman" w:eastAsia="宋体" w:cs="Times New Roman"/>
                <w:b/>
                <w:bCs/>
                <w:i w:val="0"/>
                <w:color w:val="auto"/>
                <w:kern w:val="0"/>
                <w:sz w:val="20"/>
                <w:szCs w:val="20"/>
                <w:u w:val="none"/>
                <w:lang w:val="en-US" w:eastAsia="zh-CN" w:bidi="ar"/>
              </w:rPr>
              <w:t>住房保障支出</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rPr>
            </w:pPr>
            <w:r>
              <w:rPr>
                <w:rFonts w:hint="default" w:ascii="Times New Roman" w:hAnsi="Times New Roman" w:eastAsia="宋体" w:cs="Times New Roman"/>
                <w:b/>
                <w:bCs/>
                <w:i w:val="0"/>
                <w:color w:val="auto"/>
                <w:kern w:val="0"/>
                <w:sz w:val="20"/>
                <w:szCs w:val="20"/>
                <w:u w:val="none"/>
                <w:lang w:val="en-US" w:eastAsia="zh-CN" w:bidi="ar"/>
              </w:rPr>
              <w:t>22.62</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rPr>
            </w:pPr>
            <w:r>
              <w:rPr>
                <w:rFonts w:hint="default" w:ascii="Times New Roman" w:hAnsi="Times New Roman" w:eastAsia="宋体" w:cs="Times New Roman"/>
                <w:b/>
                <w:bCs/>
                <w:i w:val="0"/>
                <w:color w:val="auto"/>
                <w:kern w:val="0"/>
                <w:sz w:val="20"/>
                <w:szCs w:val="20"/>
                <w:u w:val="none"/>
                <w:lang w:val="en-US" w:eastAsia="zh-CN" w:bidi="ar"/>
              </w:rPr>
              <w:t>22.62</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rPr>
            </w:pPr>
            <w:r>
              <w:rPr>
                <w:rFonts w:hint="default" w:ascii="Times New Roman" w:hAnsi="Times New Roman" w:eastAsia="宋体" w:cs="Times New Roman"/>
                <w:b/>
                <w:bCs/>
                <w:i w:val="0"/>
                <w:color w:val="auto"/>
                <w:kern w:val="0"/>
                <w:sz w:val="20"/>
                <w:szCs w:val="20"/>
                <w:u w:val="none"/>
                <w:lang w:val="en-US" w:eastAsia="zh-CN" w:bidi="ar"/>
              </w:rPr>
              <w:t>0.00</w:t>
            </w:r>
          </w:p>
        </w:tc>
      </w:tr>
      <w:tr>
        <w:tblPrEx>
          <w:tblCellMar>
            <w:top w:w="0" w:type="dxa"/>
            <w:left w:w="108" w:type="dxa"/>
            <w:bottom w:w="0" w:type="dxa"/>
            <w:right w:w="108" w:type="dxa"/>
          </w:tblCellMar>
        </w:tblPrEx>
        <w:trPr>
          <w:trHeight w:val="38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both"/>
              <w:outlineLvl w:val="9"/>
              <w:rPr>
                <w:rFonts w:hint="default" w:ascii="Times New Roman" w:hAnsi="Times New Roman" w:cs="Times New Roman"/>
                <w:b/>
                <w:bCs/>
                <w:color w:val="auto"/>
                <w:lang w:val="en-US" w:eastAsia="zh-CN"/>
              </w:rPr>
            </w:pPr>
            <w:r>
              <w:rPr>
                <w:rFonts w:hint="default" w:ascii="Times New Roman" w:hAnsi="Times New Roman" w:cs="Times New Roman"/>
                <w:b/>
                <w:bCs/>
                <w:color w:val="auto"/>
                <w:lang w:val="en-US" w:eastAsia="zh-CN"/>
              </w:rPr>
              <w:t>22102</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default" w:ascii="Times New Roman" w:hAnsi="Times New Roman" w:eastAsia="宋体" w:cs="Times New Roman"/>
                <w:b/>
                <w:bCs/>
                <w:i w:val="0"/>
                <w:color w:val="auto"/>
                <w:kern w:val="0"/>
                <w:sz w:val="20"/>
                <w:szCs w:val="20"/>
                <w:u w:val="none"/>
                <w:lang w:val="en-US" w:eastAsia="zh-CN" w:bidi="ar"/>
              </w:rPr>
            </w:pPr>
            <w:r>
              <w:rPr>
                <w:rFonts w:hint="default" w:ascii="Times New Roman" w:hAnsi="Times New Roman" w:eastAsia="宋体" w:cs="Times New Roman"/>
                <w:b/>
                <w:bCs/>
                <w:i w:val="0"/>
                <w:color w:val="auto"/>
                <w:kern w:val="0"/>
                <w:sz w:val="20"/>
                <w:szCs w:val="20"/>
                <w:u w:val="none"/>
                <w:lang w:val="en-US" w:eastAsia="zh-CN" w:bidi="ar"/>
              </w:rPr>
              <w:t>住房改革支出</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bCs/>
                <w:color w:val="auto"/>
                <w:kern w:val="0"/>
                <w:szCs w:val="21"/>
              </w:rPr>
            </w:pPr>
            <w:r>
              <w:rPr>
                <w:rFonts w:hint="default" w:ascii="Times New Roman" w:hAnsi="Times New Roman" w:eastAsia="宋体" w:cs="Times New Roman"/>
                <w:b/>
                <w:bCs/>
                <w:i w:val="0"/>
                <w:color w:val="auto"/>
                <w:kern w:val="0"/>
                <w:sz w:val="20"/>
                <w:szCs w:val="20"/>
                <w:u w:val="none"/>
                <w:lang w:val="en-US" w:eastAsia="zh-CN" w:bidi="ar"/>
              </w:rPr>
              <w:t>22.62</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color w:val="auto"/>
                <w:kern w:val="0"/>
                <w:sz w:val="20"/>
                <w:szCs w:val="20"/>
                <w:u w:val="none"/>
                <w:lang w:val="en-US" w:eastAsia="zh-CN" w:bidi="ar"/>
              </w:rPr>
            </w:pPr>
            <w:r>
              <w:rPr>
                <w:rFonts w:hint="default" w:ascii="Times New Roman" w:hAnsi="Times New Roman" w:eastAsia="宋体" w:cs="Times New Roman"/>
                <w:b/>
                <w:bCs/>
                <w:i w:val="0"/>
                <w:color w:val="auto"/>
                <w:kern w:val="0"/>
                <w:sz w:val="20"/>
                <w:szCs w:val="20"/>
                <w:u w:val="none"/>
                <w:lang w:val="en-US" w:eastAsia="zh-CN" w:bidi="ar"/>
              </w:rPr>
              <w:t>22.62</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color w:val="auto"/>
                <w:kern w:val="0"/>
                <w:sz w:val="20"/>
                <w:szCs w:val="20"/>
                <w:u w:val="none"/>
                <w:lang w:val="en-US" w:eastAsia="zh-CN" w:bidi="ar"/>
              </w:rPr>
            </w:pPr>
            <w:r>
              <w:rPr>
                <w:rFonts w:hint="default" w:ascii="Times New Roman" w:hAnsi="Times New Roman" w:eastAsia="宋体" w:cs="Times New Roman"/>
                <w:b/>
                <w:bCs/>
                <w:i w:val="0"/>
                <w:color w:val="auto"/>
                <w:kern w:val="0"/>
                <w:sz w:val="20"/>
                <w:szCs w:val="20"/>
                <w:u w:val="none"/>
                <w:lang w:val="en-US" w:eastAsia="zh-CN" w:bidi="ar"/>
              </w:rPr>
              <w:t>0.00</w:t>
            </w:r>
          </w:p>
        </w:tc>
      </w:tr>
      <w:tr>
        <w:tblPrEx>
          <w:tblCellMar>
            <w:top w:w="0" w:type="dxa"/>
            <w:left w:w="108" w:type="dxa"/>
            <w:bottom w:w="0" w:type="dxa"/>
            <w:right w:w="108" w:type="dxa"/>
          </w:tblCellMar>
        </w:tblPrEx>
        <w:trPr>
          <w:trHeight w:val="366"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both"/>
              <w:outlineLvl w:val="9"/>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2210201</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auto"/>
                <w:kern w:val="0"/>
                <w:sz w:val="20"/>
                <w:szCs w:val="20"/>
                <w:u w:val="none"/>
                <w:lang w:val="en-US" w:eastAsia="zh-CN" w:bidi="ar"/>
              </w:rPr>
              <w:t>住房公积金</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color w:val="auto"/>
                <w:kern w:val="0"/>
                <w:szCs w:val="21"/>
              </w:rPr>
            </w:pPr>
            <w:r>
              <w:rPr>
                <w:rFonts w:hint="default" w:ascii="Times New Roman" w:hAnsi="Times New Roman" w:eastAsia="宋体" w:cs="Times New Roman"/>
                <w:b w:val="0"/>
                <w:bCs w:val="0"/>
                <w:i w:val="0"/>
                <w:color w:val="auto"/>
                <w:kern w:val="0"/>
                <w:sz w:val="20"/>
                <w:szCs w:val="20"/>
                <w:u w:val="none"/>
                <w:lang w:val="en-US" w:eastAsia="zh-CN" w:bidi="ar"/>
              </w:rPr>
              <w:t>14.93</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color w:val="auto"/>
                <w:kern w:val="0"/>
                <w:szCs w:val="21"/>
              </w:rPr>
            </w:pPr>
            <w:r>
              <w:rPr>
                <w:rFonts w:hint="default" w:ascii="Times New Roman" w:hAnsi="Times New Roman" w:eastAsia="宋体" w:cs="Times New Roman"/>
                <w:b w:val="0"/>
                <w:bCs w:val="0"/>
                <w:i w:val="0"/>
                <w:color w:val="auto"/>
                <w:kern w:val="0"/>
                <w:sz w:val="20"/>
                <w:szCs w:val="20"/>
                <w:u w:val="none"/>
                <w:lang w:val="en-US" w:eastAsia="zh-CN" w:bidi="ar"/>
              </w:rPr>
              <w:t>14.93</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color w:val="auto"/>
                <w:kern w:val="0"/>
                <w:szCs w:val="21"/>
              </w:rPr>
            </w:pPr>
            <w:r>
              <w:rPr>
                <w:rFonts w:hint="default" w:ascii="Times New Roman" w:hAnsi="Times New Roman" w:eastAsia="宋体" w:cs="Times New Roman"/>
                <w:b w:val="0"/>
                <w:bCs w:val="0"/>
                <w:i w:val="0"/>
                <w:color w:val="auto"/>
                <w:kern w:val="0"/>
                <w:sz w:val="20"/>
                <w:szCs w:val="20"/>
                <w:u w:val="none"/>
                <w:lang w:val="en-US" w:eastAsia="zh-CN" w:bidi="ar"/>
              </w:rPr>
              <w:t>0.00</w:t>
            </w:r>
          </w:p>
        </w:tc>
      </w:tr>
      <w:tr>
        <w:tblPrEx>
          <w:tblCellMar>
            <w:top w:w="0" w:type="dxa"/>
            <w:left w:w="108" w:type="dxa"/>
            <w:bottom w:w="0" w:type="dxa"/>
            <w:right w:w="108" w:type="dxa"/>
          </w:tblCellMar>
        </w:tblPrEx>
        <w:trPr>
          <w:trHeight w:val="39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both"/>
              <w:outlineLvl w:val="9"/>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2210203</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auto"/>
                <w:kern w:val="0"/>
                <w:sz w:val="20"/>
                <w:szCs w:val="20"/>
                <w:u w:val="none"/>
                <w:lang w:val="en-US" w:eastAsia="zh-CN" w:bidi="ar"/>
              </w:rPr>
              <w:t>购房补贴</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color w:val="auto"/>
                <w:kern w:val="0"/>
                <w:szCs w:val="21"/>
              </w:rPr>
            </w:pPr>
            <w:r>
              <w:rPr>
                <w:rFonts w:hint="default" w:ascii="Times New Roman" w:hAnsi="Times New Roman" w:eastAsia="宋体" w:cs="Times New Roman"/>
                <w:b w:val="0"/>
                <w:bCs w:val="0"/>
                <w:i w:val="0"/>
                <w:color w:val="auto"/>
                <w:kern w:val="0"/>
                <w:sz w:val="20"/>
                <w:szCs w:val="20"/>
                <w:u w:val="none"/>
                <w:lang w:val="en-US" w:eastAsia="zh-CN" w:bidi="ar"/>
              </w:rPr>
              <w:t>7.69</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color w:val="auto"/>
                <w:kern w:val="0"/>
                <w:szCs w:val="21"/>
              </w:rPr>
            </w:pPr>
            <w:r>
              <w:rPr>
                <w:rFonts w:hint="default" w:ascii="Times New Roman" w:hAnsi="Times New Roman" w:eastAsia="宋体" w:cs="Times New Roman"/>
                <w:b w:val="0"/>
                <w:bCs w:val="0"/>
                <w:i w:val="0"/>
                <w:color w:val="auto"/>
                <w:kern w:val="0"/>
                <w:sz w:val="20"/>
                <w:szCs w:val="20"/>
                <w:u w:val="none"/>
                <w:lang w:val="en-US" w:eastAsia="zh-CN" w:bidi="ar"/>
              </w:rPr>
              <w:t>7.69</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color w:val="auto"/>
                <w:kern w:val="0"/>
                <w:szCs w:val="21"/>
              </w:rPr>
            </w:pPr>
            <w:r>
              <w:rPr>
                <w:rFonts w:hint="default" w:ascii="Times New Roman" w:hAnsi="Times New Roman" w:eastAsia="宋体" w:cs="Times New Roman"/>
                <w:b w:val="0"/>
                <w:bCs w:val="0"/>
                <w:i w:val="0"/>
                <w:color w:val="auto"/>
                <w:kern w:val="0"/>
                <w:sz w:val="20"/>
                <w:szCs w:val="20"/>
                <w:u w:val="none"/>
                <w:lang w:val="en-US" w:eastAsia="zh-CN" w:bidi="ar"/>
              </w:rPr>
              <w:t>0.00</w:t>
            </w:r>
          </w:p>
        </w:tc>
      </w:tr>
      <w:tr>
        <w:tblPrEx>
          <w:tblCellMar>
            <w:top w:w="0" w:type="dxa"/>
            <w:left w:w="108" w:type="dxa"/>
            <w:bottom w:w="0" w:type="dxa"/>
            <w:right w:w="108" w:type="dxa"/>
          </w:tblCellMar>
        </w:tblPrEx>
        <w:trPr>
          <w:trHeight w:val="449" w:hRule="atLeast"/>
          <w:jc w:val="center"/>
        </w:trPr>
        <w:tc>
          <w:tcPr>
            <w:tcW w:w="14219" w:type="dxa"/>
            <w:gridSpan w:val="5"/>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default" w:ascii="Times New Roman" w:hAnsi="Times New Roman" w:eastAsia="仿宋_GB2312" w:cs="Times New Roman"/>
                <w:color w:val="auto"/>
                <w:kern w:val="0"/>
                <w:szCs w:val="21"/>
              </w:rPr>
            </w:pPr>
            <w:r>
              <w:rPr>
                <w:rFonts w:hint="default" w:ascii="Times New Roman" w:hAnsi="Times New Roman" w:cs="Times New Roman" w:eastAsiaTheme="minorEastAsia"/>
                <w:color w:val="auto"/>
                <w:kern w:val="0"/>
                <w:szCs w:val="21"/>
              </w:rPr>
              <w:t>注：本表反映部门本年度一般公共预算财政拨款支出情况。</w:t>
            </w:r>
          </w:p>
        </w:tc>
      </w:tr>
    </w:tbl>
    <w:p>
      <w:pPr>
        <w:pStyle w:val="2"/>
        <w:rPr>
          <w:rFonts w:hint="default" w:ascii="Times New Roman" w:hAnsi="Times New Roman" w:cs="Times New Roman"/>
          <w:color w:val="auto"/>
        </w:rPr>
      </w:pPr>
    </w:p>
    <w:tbl>
      <w:tblPr>
        <w:tblStyle w:val="7"/>
        <w:tblW w:w="15721" w:type="dxa"/>
        <w:jc w:val="center"/>
        <w:tblLayout w:type="fixed"/>
        <w:tblCellMar>
          <w:top w:w="0" w:type="dxa"/>
          <w:left w:w="108" w:type="dxa"/>
          <w:bottom w:w="0" w:type="dxa"/>
          <w:right w:w="108" w:type="dxa"/>
        </w:tblCellMar>
      </w:tblPr>
      <w:tblGrid>
        <w:gridCol w:w="1057"/>
        <w:gridCol w:w="3348"/>
        <w:gridCol w:w="1212"/>
        <w:gridCol w:w="1075"/>
        <w:gridCol w:w="2316"/>
        <w:gridCol w:w="660"/>
        <w:gridCol w:w="1124"/>
        <w:gridCol w:w="4206"/>
        <w:gridCol w:w="723"/>
      </w:tblGrid>
      <w:tr>
        <w:trPr>
          <w:trHeight w:val="113" w:hRule="atLeast"/>
          <w:jc w:val="center"/>
        </w:trPr>
        <w:tc>
          <w:tcPr>
            <w:tcW w:w="15721" w:type="dxa"/>
            <w:gridSpan w:val="9"/>
            <w:tcBorders>
              <w:top w:val="nil"/>
              <w:left w:val="nil"/>
              <w:bottom w:val="nil"/>
              <w:right w:val="nil"/>
            </w:tcBorders>
            <w:shd w:val="clear" w:color="auto" w:fill="auto"/>
            <w:vAlign w:val="center"/>
          </w:tcPr>
          <w:p>
            <w:pPr>
              <w:widowControl/>
              <w:jc w:val="center"/>
              <w:rPr>
                <w:rFonts w:hint="default" w:ascii="Times New Roman" w:hAnsi="Times New Roman" w:eastAsia="方正小标宋_GBK" w:cs="Times New Roman"/>
                <w:color w:val="auto"/>
                <w:kern w:val="0"/>
                <w:sz w:val="32"/>
                <w:szCs w:val="32"/>
              </w:rPr>
            </w:pPr>
            <w:bookmarkStart w:id="2" w:name="RANGE!A1:I34"/>
            <w:r>
              <w:rPr>
                <w:rFonts w:hint="default" w:ascii="Times New Roman" w:hAnsi="Times New Roman" w:eastAsia="方正小标宋_GBK" w:cs="Times New Roman"/>
                <w:color w:val="auto"/>
                <w:kern w:val="0"/>
                <w:sz w:val="32"/>
                <w:szCs w:val="32"/>
              </w:rPr>
              <w:t>一般公共预算财政拨款基本支出决算明细表</w:t>
            </w:r>
            <w:bookmarkEnd w:id="2"/>
          </w:p>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部门：</w:t>
            </w:r>
            <w:r>
              <w:rPr>
                <w:rFonts w:hint="default" w:ascii="Times New Roman" w:hAnsi="Times New Roman" w:eastAsia="宋体" w:cs="Times New Roman"/>
                <w:color w:val="auto"/>
                <w:kern w:val="0"/>
                <w:sz w:val="20"/>
                <w:szCs w:val="20"/>
                <w:lang w:eastAsia="zh-CN"/>
              </w:rPr>
              <w:t>湖南省国际人才智力交流协作中心</w:t>
            </w:r>
            <w:r>
              <w:rPr>
                <w:rFonts w:hint="default" w:ascii="Times New Roman" w:hAnsi="Times New Roman" w:eastAsia="宋体" w:cs="Times New Roman"/>
                <w:color w:val="auto"/>
                <w:kern w:val="0"/>
                <w:szCs w:val="21"/>
              </w:rPr>
              <w:t xml:space="preserve">                                        </w:t>
            </w:r>
            <w:r>
              <w:rPr>
                <w:rFonts w:hint="default" w:ascii="Times New Roman" w:hAnsi="Times New Roman" w:eastAsia="宋体" w:cs="Times New Roman"/>
                <w:color w:val="auto"/>
                <w:kern w:val="0"/>
                <w:szCs w:val="21"/>
                <w:lang w:val="en-US" w:eastAsia="zh-CN"/>
              </w:rPr>
              <w:t xml:space="preserve">                </w:t>
            </w:r>
            <w:r>
              <w:rPr>
                <w:rFonts w:hint="default" w:ascii="Times New Roman" w:hAnsi="Times New Roman" w:eastAsia="宋体" w:cs="Times New Roman"/>
                <w:color w:val="auto"/>
                <w:kern w:val="0"/>
                <w:szCs w:val="21"/>
              </w:rPr>
              <w:t xml:space="preserve">                                         </w:t>
            </w:r>
            <w:r>
              <w:rPr>
                <w:rFonts w:hint="default" w:ascii="Times New Roman" w:hAnsi="Times New Roman" w:eastAsia="宋体" w:cs="Times New Roman"/>
                <w:color w:val="auto"/>
                <w:kern w:val="0"/>
                <w:szCs w:val="21"/>
                <w:lang w:val="en-US" w:eastAsia="zh-CN"/>
              </w:rPr>
              <w:t xml:space="preserve">  </w:t>
            </w:r>
            <w:r>
              <w:rPr>
                <w:rFonts w:hint="default" w:ascii="Times New Roman" w:hAnsi="Times New Roman" w:eastAsia="宋体" w:cs="Times New Roman"/>
                <w:color w:val="auto"/>
                <w:kern w:val="0"/>
                <w:szCs w:val="21"/>
              </w:rPr>
              <w:t xml:space="preserve">   </w:t>
            </w:r>
            <w:r>
              <w:rPr>
                <w:rFonts w:hint="default" w:ascii="Times New Roman" w:hAnsi="Times New Roman" w:eastAsia="宋体" w:cs="Times New Roman"/>
                <w:color w:val="auto"/>
                <w:kern w:val="0"/>
                <w:szCs w:val="21"/>
                <w:lang w:val="en-US" w:eastAsia="zh-CN"/>
              </w:rPr>
              <w:t xml:space="preserve"> </w:t>
            </w:r>
            <w:r>
              <w:rPr>
                <w:rFonts w:hint="default" w:ascii="Times New Roman" w:hAnsi="Times New Roman" w:eastAsia="宋体" w:cs="Times New Roman"/>
                <w:color w:val="auto"/>
                <w:kern w:val="0"/>
                <w:szCs w:val="21"/>
              </w:rPr>
              <w:t>公开06表</w:t>
            </w:r>
          </w:p>
          <w:p>
            <w:pPr>
              <w:keepNext w:val="0"/>
              <w:keepLines w:val="0"/>
              <w:pageBreakBefore w:val="0"/>
              <w:widowControl/>
              <w:kinsoku/>
              <w:wordWrap/>
              <w:overflowPunct/>
              <w:topLinePunct w:val="0"/>
              <w:autoSpaceDE/>
              <w:autoSpaceDN/>
              <w:bidi w:val="0"/>
              <w:adjustRightInd/>
              <w:snapToGrid/>
              <w:spacing w:line="200" w:lineRule="exact"/>
              <w:jc w:val="right"/>
              <w:textAlignment w:val="auto"/>
              <w:rPr>
                <w:rFonts w:hint="default" w:ascii="Times New Roman" w:hAnsi="Times New Roman" w:eastAsia="宋体" w:cs="Times New Roman"/>
                <w:color w:val="auto"/>
                <w:kern w:val="0"/>
                <w:szCs w:val="32"/>
              </w:rPr>
            </w:pPr>
            <w:r>
              <w:rPr>
                <w:rFonts w:hint="default" w:ascii="Times New Roman" w:hAnsi="Times New Roman" w:eastAsia="宋体" w:cs="Times New Roman"/>
                <w:color w:val="auto"/>
                <w:kern w:val="0"/>
                <w:szCs w:val="21"/>
              </w:rPr>
              <w:t>单位：万元</w:t>
            </w:r>
          </w:p>
        </w:tc>
      </w:tr>
      <w:tr>
        <w:tblPrEx>
          <w:tblCellMar>
            <w:top w:w="0" w:type="dxa"/>
            <w:left w:w="108" w:type="dxa"/>
            <w:bottom w:w="0" w:type="dxa"/>
            <w:right w:w="108" w:type="dxa"/>
          </w:tblCellMar>
        </w:tblPrEx>
        <w:trPr>
          <w:trHeight w:val="113" w:hRule="atLeast"/>
          <w:jc w:val="center"/>
        </w:trPr>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经济分类科目编码</w:t>
            </w:r>
          </w:p>
        </w:tc>
        <w:tc>
          <w:tcPr>
            <w:tcW w:w="3348"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科目名称</w:t>
            </w:r>
          </w:p>
        </w:tc>
        <w:tc>
          <w:tcPr>
            <w:tcW w:w="1212"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决算数</w:t>
            </w:r>
          </w:p>
        </w:tc>
        <w:tc>
          <w:tcPr>
            <w:tcW w:w="107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经济分类科目编码</w:t>
            </w:r>
          </w:p>
        </w:tc>
        <w:tc>
          <w:tcPr>
            <w:tcW w:w="231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科目名称</w:t>
            </w:r>
          </w:p>
        </w:tc>
        <w:tc>
          <w:tcPr>
            <w:tcW w:w="6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决算数</w:t>
            </w:r>
          </w:p>
        </w:tc>
        <w:tc>
          <w:tcPr>
            <w:tcW w:w="112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经济分类科目编码</w:t>
            </w:r>
          </w:p>
        </w:tc>
        <w:tc>
          <w:tcPr>
            <w:tcW w:w="420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科目名称</w:t>
            </w:r>
          </w:p>
        </w:tc>
        <w:tc>
          <w:tcPr>
            <w:tcW w:w="723"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决算数</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301</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工资福利支出</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lang w:val="en-US" w:eastAsia="zh-CN"/>
              </w:rPr>
              <w:t>125.63</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商品和服务支出</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val="en-US" w:eastAsia="zh-CN"/>
              </w:rPr>
              <w:t>6.21</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307</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债务利息及费用支出</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30101</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基本工资</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27.96</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30201</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办公费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lang w:val="en-US" w:eastAsia="zh-CN"/>
              </w:rPr>
              <w:t>0.61</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30701</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国内债务付息</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30102</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津贴补贴</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r>
              <w:rPr>
                <w:rFonts w:hint="default" w:ascii="Times New Roman" w:hAnsi="Times New Roman" w:eastAsia="宋体" w:cs="Times New Roman"/>
                <w:color w:val="auto"/>
                <w:kern w:val="0"/>
                <w:sz w:val="21"/>
                <w:szCs w:val="21"/>
                <w:lang w:val="en-US" w:eastAsia="zh-CN"/>
              </w:rPr>
              <w:t>7.53</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30202</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印刷费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lang w:val="en-US" w:eastAsia="zh-CN"/>
              </w:rPr>
              <w:t>0.038</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30702</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国外债务付息</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30103</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奖金</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30203</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咨询费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310</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资本性支出</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30106</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伙食补助费</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30204</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手续费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31001</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房屋建筑物购建</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30107</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绩效工资</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r>
              <w:rPr>
                <w:rFonts w:hint="default" w:ascii="Times New Roman" w:hAnsi="Times New Roman" w:eastAsia="宋体" w:cs="Times New Roman"/>
                <w:color w:val="auto"/>
                <w:kern w:val="0"/>
                <w:sz w:val="21"/>
                <w:szCs w:val="21"/>
                <w:lang w:val="en-US" w:eastAsia="zh-CN"/>
              </w:rPr>
              <w:t>46.73</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30205</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水费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val="en-US" w:eastAsia="zh-CN"/>
              </w:rPr>
              <w:t>0.34</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31002</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办公设备购置</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47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30108</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机关事业单位基本养老保险缴费</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r>
              <w:rPr>
                <w:rFonts w:hint="default" w:ascii="Times New Roman" w:hAnsi="Times New Roman" w:eastAsia="宋体" w:cs="Times New Roman"/>
                <w:color w:val="auto"/>
                <w:kern w:val="0"/>
                <w:sz w:val="21"/>
                <w:szCs w:val="21"/>
                <w:lang w:val="en-US" w:eastAsia="zh-CN"/>
              </w:rPr>
              <w:t>11.98</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30206</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电费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val="en-US" w:eastAsia="zh-CN"/>
              </w:rPr>
              <w:t>0.22</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31003</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专用设备购置</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30109</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职业年金缴费</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30207</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邮电费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31005</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基础设施建设</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30110</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职工基本医疗保险缴费</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r>
              <w:rPr>
                <w:rFonts w:hint="default" w:ascii="Times New Roman" w:hAnsi="Times New Roman" w:eastAsia="宋体" w:cs="Times New Roman"/>
                <w:color w:val="auto"/>
                <w:kern w:val="0"/>
                <w:sz w:val="21"/>
                <w:szCs w:val="21"/>
                <w:lang w:val="en-US" w:eastAsia="zh-CN"/>
              </w:rPr>
              <w:t>7.33</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30208</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取暖费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val="en-US" w:eastAsia="zh-CN"/>
              </w:rPr>
              <w:t>1.18</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31006</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大型修缮</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30111</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公务员医疗补助缴费</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30209</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物业管理费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val="en-US" w:eastAsia="zh-CN"/>
              </w:rPr>
              <w:t>2.18</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31007</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信息网络及软件购置更新</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30112</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其他社会保障缴费</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r>
              <w:rPr>
                <w:rFonts w:hint="default" w:ascii="Times New Roman" w:hAnsi="Times New Roman" w:eastAsia="宋体" w:cs="Times New Roman"/>
                <w:color w:val="auto"/>
                <w:kern w:val="0"/>
                <w:sz w:val="21"/>
                <w:szCs w:val="21"/>
                <w:lang w:val="en-US" w:eastAsia="zh-CN"/>
              </w:rPr>
              <w:t>1.51</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30211</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差旅费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31008</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物资储备</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30113</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住房公积金</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r>
              <w:rPr>
                <w:rFonts w:hint="default" w:ascii="Times New Roman" w:hAnsi="Times New Roman" w:eastAsia="宋体" w:cs="Times New Roman"/>
                <w:color w:val="auto"/>
                <w:kern w:val="0"/>
                <w:sz w:val="21"/>
                <w:szCs w:val="21"/>
                <w:lang w:val="en-US" w:eastAsia="zh-CN"/>
              </w:rPr>
              <w:t>14.93</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30212</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因公出国（境）费用</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31009</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土地补偿</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30114</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医疗费</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30213</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维修（护）费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31010</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安置补助</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30199</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其他工资福利支出</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r>
              <w:rPr>
                <w:rFonts w:hint="default" w:ascii="Times New Roman" w:hAnsi="Times New Roman" w:eastAsia="宋体" w:cs="Times New Roman"/>
                <w:color w:val="auto"/>
                <w:kern w:val="0"/>
                <w:sz w:val="21"/>
                <w:szCs w:val="21"/>
                <w:lang w:val="en-US" w:eastAsia="zh-CN"/>
              </w:rPr>
              <w:t>7.66</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30214</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租赁费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31011</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地上附着物和青苗补偿</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303</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对个人和家庭的补助</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30215</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会议费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31012</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拆迁补偿</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30301</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离休费</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30216</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培训费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31013</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公务用车购置</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30302</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退休费</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30217</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公务接待费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31019</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其他交通工具购置</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30303</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退职（役）费</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30218</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专用材料费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31021</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文物和陈列品购置</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30304</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抚恤金</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30224</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被装购置费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31022</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无形资产购置</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30305</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生活补助</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30225</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专用燃料费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31099</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其他资本性支出</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30306</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救济费</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30226</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劳务费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399</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其他支出</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30307</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医疗费补助</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30227</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委托业务费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lang w:val="en-US" w:eastAsia="zh-CN"/>
              </w:rPr>
            </w:pP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39906</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赠与</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30308</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助学金</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30228</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工会经费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1.00</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39907</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国家赔偿费用支出</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329"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30309</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奖励金</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30229</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福利费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39908</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对民间非营利组织和群众性自治组织补贴</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30310</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个人农业生产补贴</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30231</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公务用车运行维护费</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39999</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其他支出</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30311</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代缴社会保险费</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30239</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其他交通费用</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30399</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其他对个人和家庭的补助</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30240</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税金及附加费用</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0.58</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334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10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30299</w:t>
            </w:r>
          </w:p>
        </w:tc>
        <w:tc>
          <w:tcPr>
            <w:tcW w:w="23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xml:space="preserve">  其他商品和服务支出</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0.07</w:t>
            </w:r>
          </w:p>
        </w:tc>
        <w:tc>
          <w:tcPr>
            <w:tcW w:w="11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42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CellMar>
            <w:top w:w="0" w:type="dxa"/>
            <w:left w:w="108" w:type="dxa"/>
            <w:bottom w:w="0" w:type="dxa"/>
            <w:right w:w="108" w:type="dxa"/>
          </w:tblCellMar>
        </w:tblPrEx>
        <w:trPr>
          <w:trHeight w:val="284" w:hRule="exact"/>
          <w:jc w:val="center"/>
        </w:trPr>
        <w:tc>
          <w:tcPr>
            <w:tcW w:w="44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人员经费合计</w:t>
            </w:r>
          </w:p>
        </w:tc>
        <w:tc>
          <w:tcPr>
            <w:tcW w:w="121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w:t>
            </w:r>
            <w:r>
              <w:rPr>
                <w:rFonts w:hint="default" w:ascii="Times New Roman" w:hAnsi="Times New Roman" w:eastAsia="宋体" w:cs="Times New Roman"/>
                <w:color w:val="auto"/>
                <w:kern w:val="0"/>
                <w:sz w:val="21"/>
                <w:szCs w:val="21"/>
                <w:lang w:val="en-US" w:eastAsia="zh-CN"/>
              </w:rPr>
              <w:t>125.63</w:t>
            </w:r>
          </w:p>
        </w:tc>
        <w:tc>
          <w:tcPr>
            <w:tcW w:w="9381"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公用经费合计</w:t>
            </w:r>
          </w:p>
        </w:tc>
        <w:tc>
          <w:tcPr>
            <w:tcW w:w="7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val="en-US" w:eastAsia="zh-CN"/>
              </w:rPr>
              <w:t>6.21</w:t>
            </w:r>
          </w:p>
        </w:tc>
      </w:tr>
      <w:tr>
        <w:tblPrEx>
          <w:tblCellMar>
            <w:top w:w="0" w:type="dxa"/>
            <w:left w:w="108" w:type="dxa"/>
            <w:bottom w:w="0" w:type="dxa"/>
            <w:right w:w="108" w:type="dxa"/>
          </w:tblCellMar>
        </w:tblPrEx>
        <w:trPr>
          <w:trHeight w:val="284" w:hRule="exact"/>
          <w:jc w:val="center"/>
        </w:trPr>
        <w:tc>
          <w:tcPr>
            <w:tcW w:w="15721" w:type="dxa"/>
            <w:gridSpan w:val="9"/>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注：本表反映部门本年度一般公共预算财政拨款基本支出明细情况。</w:t>
            </w:r>
          </w:p>
        </w:tc>
      </w:tr>
    </w:tbl>
    <w:p>
      <w:pPr>
        <w:widowControl/>
        <w:jc w:val="center"/>
        <w:rPr>
          <w:rFonts w:hint="default" w:ascii="Times New Roman" w:hAnsi="Times New Roman" w:eastAsia="方正小标宋_GBK" w:cs="Times New Roman"/>
          <w:color w:val="auto"/>
          <w:kern w:val="0"/>
          <w:sz w:val="32"/>
          <w:szCs w:val="32"/>
        </w:rPr>
      </w:pPr>
      <w:r>
        <w:rPr>
          <w:rFonts w:hint="default" w:ascii="Times New Roman" w:hAnsi="Times New Roman" w:eastAsia="方正小标宋_GBK" w:cs="Times New Roman"/>
          <w:color w:val="auto"/>
          <w:kern w:val="0"/>
          <w:sz w:val="32"/>
          <w:szCs w:val="32"/>
        </w:rPr>
        <w:t>一般公共预算财政拨款“三公”经费支出决算表</w:t>
      </w:r>
    </w:p>
    <w:p>
      <w:pPr>
        <w:widowControl/>
        <w:ind w:firstLine="420" w:firstLineChars="200"/>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部门：</w:t>
      </w:r>
      <w:r>
        <w:rPr>
          <w:rFonts w:hint="default" w:ascii="Times New Roman" w:hAnsi="Times New Roman" w:eastAsia="宋体" w:cs="Times New Roman"/>
          <w:color w:val="auto"/>
          <w:kern w:val="0"/>
          <w:sz w:val="20"/>
          <w:szCs w:val="20"/>
          <w:lang w:eastAsia="zh-CN"/>
        </w:rPr>
        <w:t>湖南省国际人才智力交流协作中心</w:t>
      </w:r>
      <w:r>
        <w:rPr>
          <w:rFonts w:hint="default" w:ascii="Times New Roman" w:hAnsi="Times New Roman" w:eastAsia="宋体" w:cs="Times New Roman"/>
          <w:color w:val="auto"/>
          <w:kern w:val="0"/>
          <w:szCs w:val="21"/>
        </w:rPr>
        <w:t xml:space="preserve">                                                                                              公开07表</w:t>
      </w:r>
    </w:p>
    <w:p>
      <w:pPr>
        <w:widowControl/>
        <w:ind w:right="420"/>
        <w:jc w:val="righ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单位：万元</w:t>
      </w:r>
    </w:p>
    <w:tbl>
      <w:tblPr>
        <w:tblStyle w:val="7"/>
        <w:tblW w:w="15219" w:type="dxa"/>
        <w:jc w:val="center"/>
        <w:tblLayout w:type="fixed"/>
        <w:tblCellMar>
          <w:top w:w="0" w:type="dxa"/>
          <w:left w:w="108" w:type="dxa"/>
          <w:bottom w:w="0" w:type="dxa"/>
          <w:right w:w="108" w:type="dxa"/>
        </w:tblCellMar>
      </w:tblPr>
      <w:tblGrid>
        <w:gridCol w:w="1799"/>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899"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决算数</w:t>
            </w:r>
          </w:p>
        </w:tc>
      </w:tr>
      <w:tr>
        <w:tblPrEx>
          <w:tblCellMar>
            <w:top w:w="0" w:type="dxa"/>
            <w:left w:w="108" w:type="dxa"/>
            <w:bottom w:w="0" w:type="dxa"/>
            <w:right w:w="108" w:type="dxa"/>
          </w:tblCellMar>
        </w:tblPrEx>
        <w:trPr>
          <w:trHeight w:val="397" w:hRule="atLeast"/>
          <w:jc w:val="center"/>
        </w:trPr>
        <w:tc>
          <w:tcPr>
            <w:tcW w:w="1799" w:type="dxa"/>
            <w:vMerge w:val="restart"/>
            <w:tcBorders>
              <w:top w:val="nil"/>
              <w:left w:val="single" w:color="auto" w:sz="8"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公务</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公务</w:t>
            </w:r>
          </w:p>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接待费</w:t>
            </w:r>
          </w:p>
        </w:tc>
      </w:tr>
      <w:tr>
        <w:tblPrEx>
          <w:tblCellMar>
            <w:top w:w="0" w:type="dxa"/>
            <w:left w:w="108" w:type="dxa"/>
            <w:bottom w:w="0" w:type="dxa"/>
            <w:right w:w="108" w:type="dxa"/>
          </w:tblCellMar>
        </w:tblPrEx>
        <w:trPr>
          <w:trHeight w:val="397" w:hRule="atLeast"/>
          <w:jc w:val="center"/>
        </w:trPr>
        <w:tc>
          <w:tcPr>
            <w:tcW w:w="1799" w:type="dxa"/>
            <w:vMerge w:val="continue"/>
            <w:tcBorders>
              <w:top w:val="nil"/>
              <w:left w:val="single" w:color="auto" w:sz="8" w:space="0"/>
              <w:bottom w:val="single" w:color="000000" w:sz="4" w:space="0"/>
              <w:right w:val="single" w:color="auto" w:sz="4" w:space="0"/>
            </w:tcBorders>
            <w:vAlign w:val="center"/>
          </w:tcPr>
          <w:p>
            <w:pPr>
              <w:widowControl/>
              <w:jc w:val="left"/>
              <w:rPr>
                <w:rFonts w:hint="default" w:ascii="Times New Roman" w:hAnsi="Times New Roman" w:eastAsia="宋体" w:cs="Times New Roman"/>
                <w:color w:val="auto"/>
                <w:kern w:val="0"/>
                <w:sz w:val="24"/>
                <w:szCs w:val="24"/>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hint="default" w:ascii="Times New Roman" w:hAnsi="Times New Roman" w:eastAsia="宋体" w:cs="Times New Roman"/>
                <w:color w:val="auto"/>
                <w:kern w:val="0"/>
                <w:sz w:val="24"/>
                <w:szCs w:val="24"/>
              </w:rPr>
            </w:pPr>
          </w:p>
        </w:tc>
        <w:tc>
          <w:tcPr>
            <w:tcW w:w="12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小计</w:t>
            </w:r>
          </w:p>
        </w:tc>
        <w:tc>
          <w:tcPr>
            <w:tcW w:w="12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公务用车购置费</w:t>
            </w:r>
          </w:p>
        </w:tc>
        <w:tc>
          <w:tcPr>
            <w:tcW w:w="12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公务用车运行费</w:t>
            </w:r>
          </w:p>
        </w:tc>
        <w:tc>
          <w:tcPr>
            <w:tcW w:w="12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宋体" w:cs="Times New Roman"/>
                <w:color w:val="auto"/>
                <w:kern w:val="0"/>
                <w:sz w:val="24"/>
                <w:szCs w:val="24"/>
              </w:rPr>
            </w:pPr>
          </w:p>
        </w:tc>
        <w:tc>
          <w:tcPr>
            <w:tcW w:w="1220" w:type="dxa"/>
            <w:vMerge w:val="continue"/>
            <w:tcBorders>
              <w:top w:val="nil"/>
              <w:left w:val="nil"/>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宋体" w:cs="Times New Roman"/>
                <w:color w:val="auto"/>
                <w:kern w:val="0"/>
                <w:sz w:val="24"/>
                <w:szCs w:val="24"/>
              </w:rPr>
            </w:pPr>
          </w:p>
        </w:tc>
        <w:tc>
          <w:tcPr>
            <w:tcW w:w="12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宋体" w:cs="Times New Roman"/>
                <w:color w:val="auto"/>
                <w:kern w:val="0"/>
                <w:sz w:val="24"/>
                <w:szCs w:val="24"/>
              </w:rPr>
            </w:pPr>
          </w:p>
        </w:tc>
        <w:tc>
          <w:tcPr>
            <w:tcW w:w="12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小计</w:t>
            </w:r>
          </w:p>
        </w:tc>
        <w:tc>
          <w:tcPr>
            <w:tcW w:w="12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公务用车购置费</w:t>
            </w:r>
          </w:p>
        </w:tc>
        <w:tc>
          <w:tcPr>
            <w:tcW w:w="12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公务用车运行费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397" w:hRule="atLeast"/>
          <w:jc w:val="center"/>
        </w:trPr>
        <w:tc>
          <w:tcPr>
            <w:tcW w:w="1799"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12</w:t>
            </w:r>
          </w:p>
        </w:tc>
      </w:tr>
      <w:tr>
        <w:tblPrEx>
          <w:tblCellMar>
            <w:top w:w="0" w:type="dxa"/>
            <w:left w:w="108" w:type="dxa"/>
            <w:bottom w:w="0" w:type="dxa"/>
            <w:right w:w="108" w:type="dxa"/>
          </w:tblCellMar>
        </w:tblPrEx>
        <w:trPr>
          <w:trHeight w:val="397" w:hRule="atLeast"/>
          <w:jc w:val="center"/>
        </w:trPr>
        <w:tc>
          <w:tcPr>
            <w:tcW w:w="1799" w:type="dxa"/>
            <w:tcBorders>
              <w:top w:val="nil"/>
              <w:left w:val="single" w:color="auto" w:sz="8" w:space="0"/>
              <w:bottom w:val="single" w:color="auto" w:sz="8" w:space="0"/>
              <w:right w:val="single" w:color="auto" w:sz="4" w:space="0"/>
            </w:tcBorders>
            <w:shd w:val="clear" w:color="auto" w:fill="auto"/>
            <w:vAlign w:val="center"/>
          </w:tcPr>
          <w:p>
            <w:pPr>
              <w:widowControl/>
              <w:jc w:val="center"/>
              <w:rPr>
                <w:rFonts w:hint="default" w:ascii="Times New Roman" w:hAnsi="Times New Roman" w:eastAsia="宋体" w:cs="Times New Roman"/>
                <w:color w:val="auto"/>
                <w:kern w:val="0"/>
                <w:sz w:val="24"/>
                <w:szCs w:val="24"/>
                <w:lang w:val="en-US"/>
              </w:rPr>
            </w:pPr>
            <w:r>
              <w:rPr>
                <w:rFonts w:hint="eastAsia" w:ascii="Times New Roman" w:hAnsi="Times New Roman" w:eastAsia="宋体" w:cs="Times New Roman"/>
                <w:color w:val="auto"/>
                <w:kern w:val="0"/>
                <w:sz w:val="24"/>
                <w:szCs w:val="24"/>
                <w:lang w:val="en-US" w:eastAsia="zh-CN"/>
              </w:rPr>
              <w:t>2.00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宋体" w:cs="Times New Roman"/>
                <w:color w:val="auto"/>
                <w:kern w:val="0"/>
                <w:sz w:val="24"/>
                <w:szCs w:val="24"/>
                <w:lang w:val="en-US"/>
              </w:rPr>
            </w:pPr>
            <w:r>
              <w:rPr>
                <w:rFonts w:hint="eastAsia" w:ascii="Times New Roman" w:hAnsi="Times New Roman" w:eastAsia="宋体" w:cs="Times New Roman"/>
                <w:color w:val="auto"/>
                <w:kern w:val="0"/>
                <w:sz w:val="24"/>
                <w:szCs w:val="24"/>
                <w:lang w:val="en-US" w:eastAsia="zh-CN"/>
              </w:rPr>
              <w:t>2.00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0.00</w:t>
            </w:r>
          </w:p>
        </w:tc>
        <w:tc>
          <w:tcPr>
            <w:tcW w:w="1220" w:type="dxa"/>
            <w:tcBorders>
              <w:top w:val="nil"/>
              <w:left w:val="nil"/>
              <w:bottom w:val="single" w:color="auto" w:sz="8" w:space="0"/>
              <w:right w:val="nil"/>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0.00</w:t>
            </w:r>
          </w:p>
        </w:tc>
        <w:tc>
          <w:tcPr>
            <w:tcW w:w="1220" w:type="dxa"/>
            <w:tcBorders>
              <w:top w:val="nil"/>
              <w:left w:val="single" w:color="auto" w:sz="4" w:space="0"/>
              <w:bottom w:val="single" w:color="auto" w:sz="8" w:space="0"/>
              <w:right w:val="single" w:color="auto" w:sz="8" w:space="0"/>
            </w:tcBorders>
            <w:shd w:val="clear" w:color="auto" w:fill="auto"/>
            <w:vAlign w:val="center"/>
          </w:tcPr>
          <w:p>
            <w:pPr>
              <w:widowControl/>
              <w:jc w:val="center"/>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0.00</w:t>
            </w:r>
          </w:p>
        </w:tc>
      </w:tr>
    </w:tbl>
    <w:p>
      <w:pPr>
        <w:keepNext w:val="0"/>
        <w:keepLines w:val="0"/>
        <w:pageBreakBefore w:val="0"/>
        <w:widowControl/>
        <w:kinsoku/>
        <w:wordWrap/>
        <w:overflowPunct/>
        <w:topLinePunct w:val="0"/>
        <w:autoSpaceDE/>
        <w:autoSpaceDN/>
        <w:bidi w:val="0"/>
        <w:adjustRightInd/>
        <w:snapToGrid/>
        <w:spacing w:line="360" w:lineRule="exact"/>
        <w:ind w:left="479" w:leftChars="228" w:firstLine="0" w:firstLineChars="0"/>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hint="default" w:ascii="Times New Roman" w:hAnsi="Times New Roman" w:eastAsia="宋体" w:cs="Times New Roman"/>
          <w:color w:val="auto"/>
          <w:kern w:val="0"/>
          <w:sz w:val="24"/>
          <w:szCs w:val="24"/>
        </w:rPr>
        <w:br w:type="page"/>
      </w:r>
    </w:p>
    <w:p>
      <w:pPr>
        <w:autoSpaceDE w:val="0"/>
        <w:autoSpaceDN w:val="0"/>
        <w:adjustRightInd w:val="0"/>
        <w:ind w:left="315" w:leftChars="150"/>
        <w:jc w:val="left"/>
        <w:rPr>
          <w:rFonts w:hint="default" w:ascii="Times New Roman" w:hAnsi="Times New Roman" w:eastAsia="宋体" w:cs="Times New Roman"/>
          <w:color w:val="auto"/>
          <w:kern w:val="0"/>
          <w:sz w:val="24"/>
          <w:szCs w:val="24"/>
        </w:rPr>
      </w:pPr>
    </w:p>
    <w:p>
      <w:pPr>
        <w:widowControl/>
        <w:jc w:val="center"/>
        <w:rPr>
          <w:rFonts w:hint="default" w:ascii="Times New Roman" w:hAnsi="Times New Roman" w:eastAsia="方正小标宋_GBK" w:cs="Times New Roman"/>
          <w:color w:val="auto"/>
          <w:kern w:val="0"/>
          <w:sz w:val="36"/>
          <w:szCs w:val="36"/>
        </w:rPr>
      </w:pPr>
      <w:r>
        <w:rPr>
          <w:rFonts w:hint="default" w:ascii="Times New Roman" w:hAnsi="Times New Roman" w:eastAsia="方正小标宋_GBK" w:cs="Times New Roman"/>
          <w:color w:val="auto"/>
          <w:kern w:val="0"/>
          <w:sz w:val="36"/>
          <w:szCs w:val="36"/>
        </w:rPr>
        <w:t>政府性基金预算财政拨款收入支出决算表</w:t>
      </w:r>
    </w:p>
    <w:p>
      <w:pPr>
        <w:widowControl/>
        <w:wordWrap/>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lang w:val="en-US" w:eastAsia="zh-CN"/>
        </w:rPr>
        <w:t xml:space="preserve">    </w:t>
      </w:r>
      <w:r>
        <w:rPr>
          <w:rFonts w:hint="default" w:ascii="Times New Roman" w:hAnsi="Times New Roman" w:eastAsia="宋体" w:cs="Times New Roman"/>
          <w:color w:val="auto"/>
          <w:kern w:val="0"/>
          <w:szCs w:val="21"/>
        </w:rPr>
        <w:t>部门：</w:t>
      </w:r>
      <w:r>
        <w:rPr>
          <w:rFonts w:hint="default" w:ascii="Times New Roman" w:hAnsi="Times New Roman" w:eastAsia="宋体" w:cs="Times New Roman"/>
          <w:color w:val="auto"/>
          <w:kern w:val="0"/>
          <w:sz w:val="20"/>
          <w:szCs w:val="20"/>
          <w:lang w:eastAsia="zh-CN"/>
        </w:rPr>
        <w:t>湖南省国际人才智力交流协作中心</w:t>
      </w:r>
      <w:r>
        <w:rPr>
          <w:rFonts w:hint="default" w:ascii="Times New Roman" w:hAnsi="Times New Roman" w:eastAsia="宋体" w:cs="Times New Roman"/>
          <w:color w:val="auto"/>
          <w:kern w:val="0"/>
          <w:szCs w:val="21"/>
        </w:rPr>
        <w:t xml:space="preserve">                                                  </w:t>
      </w:r>
      <w:r>
        <w:rPr>
          <w:rFonts w:hint="default" w:ascii="Times New Roman" w:hAnsi="Times New Roman" w:eastAsia="宋体" w:cs="Times New Roman"/>
          <w:color w:val="auto"/>
          <w:kern w:val="0"/>
          <w:szCs w:val="21"/>
          <w:lang w:val="en-US" w:eastAsia="zh-CN"/>
        </w:rPr>
        <w:t xml:space="preserve">                                         </w:t>
      </w:r>
      <w:r>
        <w:rPr>
          <w:rFonts w:hint="default" w:ascii="Times New Roman" w:hAnsi="Times New Roman" w:eastAsia="宋体" w:cs="Times New Roman"/>
          <w:color w:val="auto"/>
          <w:kern w:val="0"/>
          <w:szCs w:val="21"/>
        </w:rPr>
        <w:t xml:space="preserve">       公开08表</w:t>
      </w:r>
    </w:p>
    <w:p>
      <w:pPr>
        <w:widowControl/>
        <w:jc w:val="righ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单位：万元</w:t>
      </w:r>
    </w:p>
    <w:tbl>
      <w:tblPr>
        <w:tblStyle w:val="7"/>
        <w:tblW w:w="1541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331"/>
        <w:gridCol w:w="1320"/>
        <w:gridCol w:w="2000"/>
        <w:gridCol w:w="2000"/>
        <w:gridCol w:w="2000"/>
        <w:gridCol w:w="2000"/>
        <w:gridCol w:w="2000"/>
        <w:gridCol w:w="276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651" w:type="dxa"/>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val="0"/>
                <w:bCs/>
                <w:color w:val="auto"/>
                <w:kern w:val="0"/>
                <w:sz w:val="24"/>
                <w:szCs w:val="24"/>
              </w:rPr>
            </w:pPr>
            <w:r>
              <w:rPr>
                <w:rFonts w:hint="default" w:ascii="Times New Roman" w:hAnsi="Times New Roman" w:eastAsia="宋体" w:cs="Times New Roman"/>
                <w:b w:val="0"/>
                <w:bCs/>
                <w:color w:val="auto"/>
                <w:kern w:val="0"/>
                <w:sz w:val="24"/>
                <w:szCs w:val="24"/>
              </w:rPr>
              <w:t>项    目</w:t>
            </w:r>
          </w:p>
        </w:tc>
        <w:tc>
          <w:tcPr>
            <w:tcW w:w="2000"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val="0"/>
                <w:bCs/>
                <w:color w:val="auto"/>
                <w:kern w:val="0"/>
                <w:sz w:val="24"/>
                <w:szCs w:val="24"/>
              </w:rPr>
            </w:pPr>
            <w:r>
              <w:rPr>
                <w:rFonts w:hint="default" w:ascii="Times New Roman" w:hAnsi="Times New Roman" w:eastAsia="宋体" w:cs="Times New Roman"/>
                <w:b w:val="0"/>
                <w:bCs/>
                <w:color w:val="auto"/>
                <w:kern w:val="0"/>
                <w:sz w:val="24"/>
                <w:szCs w:val="24"/>
              </w:rPr>
              <w:t>年初结转和结余</w:t>
            </w:r>
          </w:p>
        </w:tc>
        <w:tc>
          <w:tcPr>
            <w:tcW w:w="2000"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val="0"/>
                <w:bCs/>
                <w:color w:val="auto"/>
                <w:kern w:val="0"/>
                <w:sz w:val="24"/>
                <w:szCs w:val="24"/>
              </w:rPr>
            </w:pPr>
            <w:r>
              <w:rPr>
                <w:rFonts w:hint="default" w:ascii="Times New Roman" w:hAnsi="Times New Roman" w:eastAsia="宋体" w:cs="Times New Roman"/>
                <w:b w:val="0"/>
                <w:bCs/>
                <w:color w:val="auto"/>
                <w:kern w:val="0"/>
                <w:sz w:val="24"/>
                <w:szCs w:val="24"/>
              </w:rPr>
              <w:t>本年收入</w:t>
            </w:r>
          </w:p>
        </w:tc>
        <w:tc>
          <w:tcPr>
            <w:tcW w:w="6000" w:type="dxa"/>
            <w:gridSpan w:val="3"/>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val="0"/>
                <w:bCs/>
                <w:color w:val="auto"/>
                <w:kern w:val="0"/>
                <w:sz w:val="24"/>
                <w:szCs w:val="24"/>
              </w:rPr>
            </w:pPr>
            <w:r>
              <w:rPr>
                <w:rFonts w:hint="default" w:ascii="Times New Roman" w:hAnsi="Times New Roman" w:eastAsia="宋体" w:cs="Times New Roman"/>
                <w:b w:val="0"/>
                <w:bCs/>
                <w:color w:val="auto"/>
                <w:kern w:val="0"/>
                <w:sz w:val="24"/>
                <w:szCs w:val="24"/>
              </w:rPr>
              <w:t>本年支出</w:t>
            </w:r>
          </w:p>
        </w:tc>
        <w:tc>
          <w:tcPr>
            <w:tcW w:w="2760"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val="0"/>
                <w:bCs/>
                <w:color w:val="auto"/>
                <w:kern w:val="0"/>
                <w:sz w:val="24"/>
                <w:szCs w:val="24"/>
              </w:rPr>
            </w:pPr>
            <w:r>
              <w:rPr>
                <w:rFonts w:hint="default" w:ascii="Times New Roman" w:hAnsi="Times New Roman" w:eastAsia="宋体" w:cs="Times New Roman"/>
                <w:b w:val="0"/>
                <w:bCs/>
                <w:color w:val="auto"/>
                <w:kern w:val="0"/>
                <w:sz w:val="24"/>
                <w:szCs w:val="24"/>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331"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val="0"/>
                <w:bCs/>
                <w:color w:val="auto"/>
                <w:kern w:val="0"/>
                <w:sz w:val="24"/>
                <w:szCs w:val="24"/>
              </w:rPr>
            </w:pPr>
            <w:r>
              <w:rPr>
                <w:rFonts w:hint="default" w:ascii="Times New Roman" w:hAnsi="Times New Roman" w:eastAsia="宋体" w:cs="Times New Roman"/>
                <w:b w:val="0"/>
                <w:bCs/>
                <w:color w:val="auto"/>
                <w:kern w:val="0"/>
                <w:sz w:val="24"/>
                <w:szCs w:val="24"/>
              </w:rPr>
              <w:t>功能分类科目编码</w:t>
            </w:r>
          </w:p>
        </w:tc>
        <w:tc>
          <w:tcPr>
            <w:tcW w:w="1320"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val="0"/>
                <w:bCs/>
                <w:color w:val="auto"/>
                <w:kern w:val="0"/>
                <w:sz w:val="24"/>
                <w:szCs w:val="24"/>
              </w:rPr>
            </w:pPr>
            <w:r>
              <w:rPr>
                <w:rFonts w:hint="default" w:ascii="Times New Roman" w:hAnsi="Times New Roman" w:eastAsia="宋体" w:cs="Times New Roman"/>
                <w:b w:val="0"/>
                <w:bCs/>
                <w:color w:val="auto"/>
                <w:kern w:val="0"/>
                <w:sz w:val="24"/>
                <w:szCs w:val="24"/>
              </w:rPr>
              <w:t>科目名称</w:t>
            </w:r>
          </w:p>
        </w:tc>
        <w:tc>
          <w:tcPr>
            <w:tcW w:w="2000" w:type="dxa"/>
            <w:vMerge w:val="continue"/>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b w:val="0"/>
                <w:bCs/>
                <w:color w:val="auto"/>
                <w:kern w:val="0"/>
                <w:sz w:val="24"/>
                <w:szCs w:val="24"/>
              </w:rPr>
            </w:pPr>
          </w:p>
        </w:tc>
        <w:tc>
          <w:tcPr>
            <w:tcW w:w="2000" w:type="dxa"/>
            <w:vMerge w:val="continue"/>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b w:val="0"/>
                <w:bCs/>
                <w:color w:val="auto"/>
                <w:kern w:val="0"/>
                <w:sz w:val="24"/>
                <w:szCs w:val="24"/>
              </w:rPr>
            </w:pPr>
          </w:p>
        </w:tc>
        <w:tc>
          <w:tcPr>
            <w:tcW w:w="2000"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val="0"/>
                <w:bCs/>
                <w:color w:val="auto"/>
                <w:kern w:val="0"/>
                <w:sz w:val="24"/>
                <w:szCs w:val="24"/>
              </w:rPr>
            </w:pPr>
            <w:r>
              <w:rPr>
                <w:rFonts w:hint="default" w:ascii="Times New Roman" w:hAnsi="Times New Roman" w:eastAsia="宋体" w:cs="Times New Roman"/>
                <w:b w:val="0"/>
                <w:bCs/>
                <w:color w:val="auto"/>
                <w:kern w:val="0"/>
                <w:sz w:val="24"/>
                <w:szCs w:val="24"/>
              </w:rPr>
              <w:t>小计</w:t>
            </w:r>
          </w:p>
        </w:tc>
        <w:tc>
          <w:tcPr>
            <w:tcW w:w="2000"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val="0"/>
                <w:bCs/>
                <w:color w:val="auto"/>
                <w:kern w:val="0"/>
                <w:sz w:val="24"/>
                <w:szCs w:val="24"/>
              </w:rPr>
            </w:pPr>
            <w:r>
              <w:rPr>
                <w:rFonts w:hint="default" w:ascii="Times New Roman" w:hAnsi="Times New Roman" w:eastAsia="宋体" w:cs="Times New Roman"/>
                <w:b w:val="0"/>
                <w:bCs/>
                <w:color w:val="auto"/>
                <w:kern w:val="0"/>
                <w:sz w:val="24"/>
                <w:szCs w:val="24"/>
              </w:rPr>
              <w:t>基本支出</w:t>
            </w:r>
          </w:p>
        </w:tc>
        <w:tc>
          <w:tcPr>
            <w:tcW w:w="2000"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val="0"/>
                <w:bCs/>
                <w:color w:val="auto"/>
                <w:kern w:val="0"/>
                <w:sz w:val="24"/>
                <w:szCs w:val="24"/>
              </w:rPr>
            </w:pPr>
            <w:r>
              <w:rPr>
                <w:rFonts w:hint="default" w:ascii="Times New Roman" w:hAnsi="Times New Roman" w:eastAsia="宋体" w:cs="Times New Roman"/>
                <w:b w:val="0"/>
                <w:bCs/>
                <w:color w:val="auto"/>
                <w:kern w:val="0"/>
                <w:sz w:val="24"/>
                <w:szCs w:val="24"/>
              </w:rPr>
              <w:t>项目支出</w:t>
            </w:r>
          </w:p>
        </w:tc>
        <w:tc>
          <w:tcPr>
            <w:tcW w:w="2760" w:type="dxa"/>
            <w:vMerge w:val="continue"/>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b w:val="0"/>
                <w:bCs/>
                <w:color w:val="auto"/>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331" w:type="dxa"/>
            <w:vMerge w:val="continue"/>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1320" w:type="dxa"/>
            <w:vMerge w:val="continue"/>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2000" w:type="dxa"/>
            <w:vMerge w:val="continue"/>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2000" w:type="dxa"/>
            <w:vMerge w:val="continue"/>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2000" w:type="dxa"/>
            <w:vMerge w:val="continue"/>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2000" w:type="dxa"/>
            <w:vMerge w:val="continue"/>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2000" w:type="dxa"/>
            <w:vMerge w:val="continue"/>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2760" w:type="dxa"/>
            <w:vMerge w:val="continue"/>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2" w:hRule="atLeast"/>
          <w:jc w:val="center"/>
        </w:trPr>
        <w:tc>
          <w:tcPr>
            <w:tcW w:w="1331" w:type="dxa"/>
            <w:vMerge w:val="continue"/>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1320" w:type="dxa"/>
            <w:vMerge w:val="continue"/>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2000" w:type="dxa"/>
            <w:vMerge w:val="continue"/>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2000" w:type="dxa"/>
            <w:vMerge w:val="continue"/>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2000" w:type="dxa"/>
            <w:vMerge w:val="continue"/>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2000" w:type="dxa"/>
            <w:vMerge w:val="continue"/>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2000" w:type="dxa"/>
            <w:vMerge w:val="continue"/>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2760" w:type="dxa"/>
            <w:vMerge w:val="continue"/>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651" w:type="dxa"/>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栏次</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1</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2</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3</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4</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5</w:t>
            </w:r>
          </w:p>
        </w:tc>
        <w:tc>
          <w:tcPr>
            <w:tcW w:w="27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651" w:type="dxa"/>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合计</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7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33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2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7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33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2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7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33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2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7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33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2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7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33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2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7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33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132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0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76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bl>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注：本表反映部门本年度政府性基金预算财政拨款收入、支出及结转和结余情况</w:t>
      </w:r>
    </w:p>
    <w:p>
      <w:pPr>
        <w:keepNext w:val="0"/>
        <w:keepLines w:val="0"/>
        <w:pageBreakBefore w:val="0"/>
        <w:widowControl/>
        <w:kinsoku/>
        <w:wordWrap/>
        <w:overflowPunct/>
        <w:topLinePunct w:val="0"/>
        <w:autoSpaceDE/>
        <w:autoSpaceDN/>
        <w:bidi w:val="0"/>
        <w:adjustRightInd/>
        <w:snapToGrid/>
        <w:spacing w:line="300" w:lineRule="exact"/>
        <w:ind w:firstLine="480" w:firstLineChars="200"/>
        <w:jc w:val="left"/>
        <w:textAlignment w:val="auto"/>
        <w:rPr>
          <w:rFonts w:hint="default" w:ascii="Times New Roman" w:hAnsi="Times New Roman" w:eastAsia="仿宋_GB2312" w:cs="Times New Roman"/>
          <w:color w:val="auto"/>
          <w:kern w:val="0"/>
          <w:szCs w:val="21"/>
        </w:rPr>
      </w:pPr>
      <w:r>
        <w:rPr>
          <w:rFonts w:hint="default" w:ascii="Times New Roman" w:hAnsi="Times New Roman" w:eastAsia="宋体" w:cs="Times New Roman"/>
          <w:color w:val="auto"/>
          <w:kern w:val="0"/>
          <w:sz w:val="24"/>
          <w:szCs w:val="24"/>
          <w:lang w:eastAsia="zh-CN"/>
        </w:rPr>
        <w:t>湖南省国际人才智力交流协作中心</w:t>
      </w:r>
      <w:r>
        <w:rPr>
          <w:rFonts w:hint="default" w:ascii="Times New Roman" w:hAnsi="Times New Roman" w:eastAsia="宋体" w:cs="Times New Roman"/>
          <w:color w:val="auto"/>
          <w:kern w:val="0"/>
          <w:sz w:val="24"/>
          <w:szCs w:val="24"/>
          <w:lang w:val="en-US" w:eastAsia="zh-CN"/>
        </w:rPr>
        <w:t>本年度</w:t>
      </w:r>
      <w:r>
        <w:rPr>
          <w:rFonts w:hint="default" w:ascii="Times New Roman" w:hAnsi="Times New Roman" w:eastAsia="宋体" w:cs="Times New Roman"/>
          <w:color w:val="auto"/>
          <w:kern w:val="0"/>
          <w:sz w:val="24"/>
          <w:szCs w:val="24"/>
          <w:lang w:eastAsia="zh-CN"/>
        </w:rPr>
        <w:t>无</w:t>
      </w:r>
      <w:r>
        <w:rPr>
          <w:rFonts w:hint="default" w:ascii="Times New Roman" w:hAnsi="Times New Roman" w:eastAsia="宋体" w:cs="Times New Roman"/>
          <w:color w:val="auto"/>
          <w:kern w:val="0"/>
          <w:sz w:val="24"/>
          <w:szCs w:val="24"/>
        </w:rPr>
        <w:t>政府性基金收入，</w:t>
      </w:r>
      <w:r>
        <w:rPr>
          <w:rFonts w:hint="default" w:ascii="Times New Roman" w:hAnsi="Times New Roman" w:eastAsia="宋体" w:cs="Times New Roman"/>
          <w:color w:val="auto"/>
          <w:kern w:val="0"/>
          <w:sz w:val="24"/>
          <w:szCs w:val="24"/>
          <w:lang w:eastAsia="zh-CN"/>
        </w:rPr>
        <w:t>无</w:t>
      </w:r>
      <w:r>
        <w:rPr>
          <w:rFonts w:hint="default" w:ascii="Times New Roman" w:hAnsi="Times New Roman" w:eastAsia="宋体" w:cs="Times New Roman"/>
          <w:color w:val="auto"/>
          <w:kern w:val="0"/>
          <w:sz w:val="24"/>
          <w:szCs w:val="24"/>
        </w:rPr>
        <w:t>使用政府性基金安排的支出，故本表无数据。</w:t>
      </w:r>
      <w:r>
        <w:rPr>
          <w:rFonts w:hint="default" w:ascii="Times New Roman" w:hAnsi="Times New Roman" w:eastAsia="仿宋_GB2312" w:cs="Times New Roman"/>
          <w:color w:val="auto"/>
          <w:kern w:val="0"/>
          <w:sz w:val="24"/>
          <w:szCs w:val="24"/>
        </w:rPr>
        <w:br w:type="page"/>
      </w:r>
    </w:p>
    <w:tbl>
      <w:tblPr>
        <w:tblStyle w:val="7"/>
        <w:tblW w:w="14190" w:type="dxa"/>
        <w:jc w:val="center"/>
        <w:tblLayout w:type="fixed"/>
        <w:tblCellMar>
          <w:top w:w="0" w:type="dxa"/>
          <w:left w:w="108" w:type="dxa"/>
          <w:bottom w:w="0" w:type="dxa"/>
          <w:right w:w="108" w:type="dxa"/>
        </w:tblCellMar>
      </w:tblPr>
      <w:tblGrid>
        <w:gridCol w:w="1060"/>
        <w:gridCol w:w="560"/>
        <w:gridCol w:w="1089"/>
        <w:gridCol w:w="2126"/>
        <w:gridCol w:w="1225"/>
        <w:gridCol w:w="1326"/>
        <w:gridCol w:w="1294"/>
        <w:gridCol w:w="1683"/>
        <w:gridCol w:w="3827"/>
      </w:tblGrid>
      <w:tr>
        <w:tblPrEx>
          <w:tblCellMar>
            <w:top w:w="0" w:type="dxa"/>
            <w:left w:w="108" w:type="dxa"/>
            <w:bottom w:w="0" w:type="dxa"/>
            <w:right w:w="108" w:type="dxa"/>
          </w:tblCellMar>
        </w:tblPrEx>
        <w:trPr>
          <w:trHeight w:val="720" w:hRule="atLeast"/>
          <w:jc w:val="center"/>
        </w:trPr>
        <w:tc>
          <w:tcPr>
            <w:tcW w:w="14190" w:type="dxa"/>
            <w:gridSpan w:val="9"/>
            <w:tcBorders>
              <w:top w:val="nil"/>
              <w:left w:val="nil"/>
              <w:bottom w:val="nil"/>
              <w:right w:val="nil"/>
            </w:tcBorders>
            <w:shd w:val="clear" w:color="000000" w:fill="FFFFFF"/>
            <w:vAlign w:val="center"/>
          </w:tcPr>
          <w:p>
            <w:pPr>
              <w:widowControl/>
              <w:jc w:val="center"/>
              <w:rPr>
                <w:rFonts w:hint="default" w:ascii="Times New Roman" w:hAnsi="Times New Roman" w:eastAsia="华文中宋" w:cs="Times New Roman"/>
                <w:color w:val="auto"/>
                <w:kern w:val="0"/>
                <w:sz w:val="32"/>
                <w:szCs w:val="32"/>
              </w:rPr>
            </w:pPr>
            <w:r>
              <w:rPr>
                <w:rFonts w:hint="default" w:ascii="Times New Roman" w:hAnsi="Times New Roman" w:eastAsia="方正小标宋_GBK" w:cs="Times New Roman"/>
                <w:color w:val="auto"/>
                <w:kern w:val="0"/>
                <w:sz w:val="32"/>
                <w:szCs w:val="32"/>
              </w:rPr>
              <w:t>国有资本经营预算财政拨款支出决算表</w:t>
            </w:r>
          </w:p>
        </w:tc>
      </w:tr>
      <w:tr>
        <w:tblPrEx>
          <w:tblCellMar>
            <w:top w:w="0" w:type="dxa"/>
            <w:left w:w="108" w:type="dxa"/>
            <w:bottom w:w="0" w:type="dxa"/>
            <w:right w:w="108" w:type="dxa"/>
          </w:tblCellMar>
        </w:tblPrEx>
        <w:trPr>
          <w:trHeight w:val="285" w:hRule="atLeast"/>
          <w:jc w:val="center"/>
        </w:trPr>
        <w:tc>
          <w:tcPr>
            <w:tcW w:w="1060" w:type="dxa"/>
            <w:tcBorders>
              <w:top w:val="nil"/>
              <w:left w:val="nil"/>
              <w:bottom w:val="nil"/>
              <w:right w:val="nil"/>
            </w:tcBorders>
            <w:shd w:val="clear" w:color="000000" w:fill="FFFFFF"/>
            <w:vAlign w:val="center"/>
          </w:tcPr>
          <w:p>
            <w:pPr>
              <w:widowControl/>
              <w:jc w:val="center"/>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　</w:t>
            </w:r>
          </w:p>
        </w:tc>
        <w:tc>
          <w:tcPr>
            <w:tcW w:w="560" w:type="dxa"/>
            <w:tcBorders>
              <w:top w:val="nil"/>
              <w:left w:val="nil"/>
              <w:bottom w:val="nil"/>
              <w:right w:val="nil"/>
            </w:tcBorders>
            <w:shd w:val="clear" w:color="000000" w:fill="FFFFFF"/>
            <w:vAlign w:val="center"/>
          </w:tcPr>
          <w:p>
            <w:pPr>
              <w:widowControl/>
              <w:jc w:val="center"/>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　</w:t>
            </w:r>
          </w:p>
        </w:tc>
        <w:tc>
          <w:tcPr>
            <w:tcW w:w="3215" w:type="dxa"/>
            <w:gridSpan w:val="2"/>
            <w:tcBorders>
              <w:top w:val="nil"/>
              <w:left w:val="nil"/>
              <w:bottom w:val="nil"/>
              <w:right w:val="nil"/>
            </w:tcBorders>
            <w:shd w:val="clear" w:color="000000" w:fill="FFFFFF"/>
            <w:vAlign w:val="center"/>
          </w:tcPr>
          <w:p>
            <w:pPr>
              <w:widowControl/>
              <w:jc w:val="center"/>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　</w:t>
            </w:r>
          </w:p>
        </w:tc>
        <w:tc>
          <w:tcPr>
            <w:tcW w:w="1225" w:type="dxa"/>
            <w:tcBorders>
              <w:top w:val="nil"/>
              <w:left w:val="nil"/>
              <w:bottom w:val="nil"/>
              <w:right w:val="nil"/>
            </w:tcBorders>
            <w:shd w:val="clear" w:color="000000" w:fill="FFFFFF"/>
            <w:vAlign w:val="center"/>
          </w:tcPr>
          <w:p>
            <w:pPr>
              <w:widowControl/>
              <w:jc w:val="left"/>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　</w:t>
            </w:r>
          </w:p>
        </w:tc>
        <w:tc>
          <w:tcPr>
            <w:tcW w:w="2620" w:type="dxa"/>
            <w:gridSpan w:val="2"/>
            <w:tcBorders>
              <w:top w:val="nil"/>
              <w:left w:val="nil"/>
              <w:bottom w:val="nil"/>
              <w:right w:val="nil"/>
            </w:tcBorders>
            <w:shd w:val="clear" w:color="000000" w:fill="FFFFFF"/>
            <w:vAlign w:val="center"/>
          </w:tcPr>
          <w:p>
            <w:pPr>
              <w:widowControl/>
              <w:jc w:val="left"/>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　</w:t>
            </w:r>
          </w:p>
        </w:tc>
        <w:tc>
          <w:tcPr>
            <w:tcW w:w="5510" w:type="dxa"/>
            <w:gridSpan w:val="2"/>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公开09表</w:t>
            </w:r>
          </w:p>
        </w:tc>
      </w:tr>
      <w:tr>
        <w:tblPrEx>
          <w:tblCellMar>
            <w:top w:w="0" w:type="dxa"/>
            <w:left w:w="108" w:type="dxa"/>
            <w:bottom w:w="0" w:type="dxa"/>
            <w:right w:w="108" w:type="dxa"/>
          </w:tblCellMar>
        </w:tblPrEx>
        <w:trPr>
          <w:trHeight w:val="285" w:hRule="atLeast"/>
          <w:jc w:val="center"/>
        </w:trPr>
        <w:tc>
          <w:tcPr>
            <w:tcW w:w="8680" w:type="dxa"/>
            <w:gridSpan w:val="7"/>
            <w:tcBorders>
              <w:top w:val="nil"/>
              <w:left w:val="nil"/>
              <w:bottom w:val="nil"/>
              <w:right w:val="nil"/>
            </w:tcBorders>
            <w:shd w:val="clear" w:color="000000" w:fill="FFFFFF"/>
            <w:vAlign w:val="center"/>
          </w:tcPr>
          <w:p>
            <w:pPr>
              <w:widowControl/>
              <w:jc w:val="left"/>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部门：</w:t>
            </w:r>
            <w:r>
              <w:rPr>
                <w:rFonts w:hint="default" w:ascii="Times New Roman" w:hAnsi="Times New Roman" w:eastAsia="宋体" w:cs="Times New Roman"/>
                <w:color w:val="auto"/>
                <w:kern w:val="0"/>
                <w:sz w:val="20"/>
                <w:szCs w:val="20"/>
                <w:lang w:eastAsia="zh-CN"/>
              </w:rPr>
              <w:t>湖南省国际人才智力交流协作中心</w:t>
            </w:r>
          </w:p>
        </w:tc>
        <w:tc>
          <w:tcPr>
            <w:tcW w:w="5510" w:type="dxa"/>
            <w:gridSpan w:val="2"/>
            <w:tcBorders>
              <w:top w:val="nil"/>
              <w:left w:val="nil"/>
              <w:bottom w:val="nil"/>
              <w:right w:val="nil"/>
            </w:tcBorders>
            <w:shd w:val="clear" w:color="000000" w:fill="FFFFFF"/>
            <w:vAlign w:val="center"/>
          </w:tcPr>
          <w:p>
            <w:pPr>
              <w:widowControl/>
              <w:jc w:val="right"/>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单位：万元</w:t>
            </w:r>
          </w:p>
        </w:tc>
      </w:tr>
      <w:tr>
        <w:tblPrEx>
          <w:tblCellMar>
            <w:top w:w="0" w:type="dxa"/>
            <w:left w:w="108" w:type="dxa"/>
            <w:bottom w:w="0" w:type="dxa"/>
            <w:right w:w="108" w:type="dxa"/>
          </w:tblCellMar>
        </w:tblPrEx>
        <w:trPr>
          <w:trHeight w:val="402" w:hRule="atLeast"/>
          <w:jc w:val="center"/>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项    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本年支出</w:t>
            </w:r>
          </w:p>
        </w:tc>
      </w:tr>
      <w:tr>
        <w:tblPrEx>
          <w:tblCellMar>
            <w:top w:w="0" w:type="dxa"/>
            <w:left w:w="108" w:type="dxa"/>
            <w:bottom w:w="0" w:type="dxa"/>
            <w:right w:w="108" w:type="dxa"/>
          </w:tblCellMar>
        </w:tblPrEx>
        <w:trPr>
          <w:trHeight w:val="402" w:hRule="atLeast"/>
          <w:jc w:val="center"/>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项目支出</w:t>
            </w:r>
          </w:p>
        </w:tc>
      </w:tr>
      <w:tr>
        <w:tblPrEx>
          <w:tblCellMar>
            <w:top w:w="0" w:type="dxa"/>
            <w:left w:w="108" w:type="dxa"/>
            <w:bottom w:w="0" w:type="dxa"/>
            <w:right w:w="108" w:type="dxa"/>
          </w:tblCellMar>
        </w:tblPrEx>
        <w:trPr>
          <w:trHeight w:val="402" w:hRule="atLeast"/>
          <w:jc w:val="center"/>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02" w:hRule="atLeast"/>
          <w:jc w:val="center"/>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p>
        </w:tc>
      </w:tr>
      <w:tr>
        <w:tblPrEx>
          <w:tblCellMar>
            <w:top w:w="0" w:type="dxa"/>
            <w:left w:w="108" w:type="dxa"/>
            <w:bottom w:w="0" w:type="dxa"/>
            <w:right w:w="108" w:type="dxa"/>
          </w:tblCellMar>
        </w:tblPrEx>
        <w:trPr>
          <w:trHeight w:val="402" w:hRule="atLeast"/>
          <w:jc w:val="center"/>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3</w:t>
            </w:r>
          </w:p>
        </w:tc>
      </w:tr>
      <w:tr>
        <w:tblPrEx>
          <w:tblCellMar>
            <w:top w:w="0" w:type="dxa"/>
            <w:left w:w="108" w:type="dxa"/>
            <w:bottom w:w="0" w:type="dxa"/>
            <w:right w:w="108" w:type="dxa"/>
          </w:tblCellMar>
        </w:tblPrEx>
        <w:trPr>
          <w:trHeight w:val="402" w:hRule="atLeast"/>
          <w:jc w:val="center"/>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402" w:hRule="atLeast"/>
          <w:jc w:val="center"/>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402" w:hRule="atLeast"/>
          <w:jc w:val="center"/>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402" w:hRule="atLeast"/>
          <w:jc w:val="center"/>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402" w:hRule="atLeast"/>
          <w:jc w:val="center"/>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402" w:hRule="atLeast"/>
          <w:jc w:val="center"/>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402" w:hRule="atLeast"/>
          <w:jc w:val="center"/>
        </w:trPr>
        <w:tc>
          <w:tcPr>
            <w:tcW w:w="162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215" w:type="dxa"/>
            <w:gridSpan w:val="2"/>
            <w:tcBorders>
              <w:top w:val="nil"/>
              <w:left w:val="nil"/>
              <w:bottom w:val="single" w:color="auto" w:sz="8"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w:t>
            </w:r>
          </w:p>
        </w:tc>
      </w:tr>
      <w:tr>
        <w:tblPrEx>
          <w:tblCellMar>
            <w:top w:w="0" w:type="dxa"/>
            <w:left w:w="108" w:type="dxa"/>
            <w:bottom w:w="0" w:type="dxa"/>
            <w:right w:w="108" w:type="dxa"/>
          </w:tblCellMar>
        </w:tblPrEx>
        <w:trPr>
          <w:trHeight w:val="720" w:hRule="atLeast"/>
          <w:jc w:val="center"/>
        </w:trPr>
        <w:tc>
          <w:tcPr>
            <w:tcW w:w="14190" w:type="dxa"/>
            <w:gridSpan w:val="9"/>
            <w:tcBorders>
              <w:top w:val="single" w:color="auto" w:sz="8" w:space="0"/>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注：本表反映部门本年度国有资本经营预算财政拨款支出情况。</w:t>
            </w:r>
          </w:p>
          <w:p>
            <w:pPr>
              <w:pStyle w:val="2"/>
              <w:keepNext w:val="0"/>
              <w:keepLines w:val="0"/>
              <w:pageBreakBefore w:val="0"/>
              <w:widowControl/>
              <w:kinsoku/>
              <w:wordWrap/>
              <w:overflowPunct/>
              <w:topLinePunct w:val="0"/>
              <w:autoSpaceDE/>
              <w:autoSpaceDN/>
              <w:bidi w:val="0"/>
              <w:adjustRightInd/>
              <w:snapToGrid/>
              <w:spacing w:line="300" w:lineRule="exact"/>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0"/>
                <w:sz w:val="24"/>
                <w:szCs w:val="24"/>
              </w:rPr>
              <w:t>湖南省国际人才智力交流协作中</w:t>
            </w:r>
            <w:r>
              <w:rPr>
                <w:rFonts w:hint="default" w:ascii="Times New Roman" w:hAnsi="Times New Roman" w:eastAsia="宋体" w:cs="Times New Roman"/>
                <w:color w:val="auto"/>
                <w:kern w:val="0"/>
                <w:sz w:val="24"/>
                <w:szCs w:val="24"/>
                <w:lang w:eastAsia="zh-CN"/>
              </w:rPr>
              <w:t>心</w:t>
            </w:r>
            <w:r>
              <w:rPr>
                <w:rFonts w:hint="default" w:ascii="Times New Roman" w:hAnsi="Times New Roman" w:eastAsia="宋体" w:cs="Times New Roman"/>
                <w:color w:val="auto"/>
                <w:kern w:val="0"/>
                <w:sz w:val="24"/>
                <w:szCs w:val="24"/>
                <w:lang w:val="en-US" w:eastAsia="zh-CN"/>
              </w:rPr>
              <w:t>本年度无</w:t>
            </w:r>
            <w:r>
              <w:rPr>
                <w:rFonts w:hint="default" w:ascii="Times New Roman" w:hAnsi="Times New Roman" w:eastAsia="宋体" w:cs="Times New Roman"/>
                <w:color w:val="auto"/>
                <w:kern w:val="0"/>
                <w:sz w:val="24"/>
                <w:szCs w:val="24"/>
              </w:rPr>
              <w:t>国有资本经营</w:t>
            </w:r>
            <w:r>
              <w:rPr>
                <w:rFonts w:hint="default" w:ascii="Times New Roman" w:hAnsi="Times New Roman" w:eastAsia="宋体" w:cs="Times New Roman"/>
                <w:color w:val="auto"/>
                <w:kern w:val="0"/>
                <w:sz w:val="24"/>
                <w:szCs w:val="24"/>
                <w:lang w:eastAsia="zh-CN"/>
              </w:rPr>
              <w:t>收支，</w:t>
            </w:r>
            <w:r>
              <w:rPr>
                <w:rFonts w:hint="eastAsia" w:ascii="Times New Roman" w:hAnsi="Times New Roman" w:eastAsia="宋体" w:cs="Times New Roman"/>
                <w:color w:val="auto"/>
                <w:kern w:val="0"/>
                <w:sz w:val="24"/>
                <w:szCs w:val="24"/>
                <w:lang w:val="en-US" w:eastAsia="zh-CN"/>
              </w:rPr>
              <w:t>中心</w:t>
            </w:r>
            <w:r>
              <w:rPr>
                <w:rFonts w:hint="default" w:ascii="Times New Roman" w:hAnsi="Times New Roman" w:eastAsia="宋体" w:cs="Times New Roman"/>
                <w:color w:val="auto"/>
                <w:kern w:val="0"/>
                <w:sz w:val="24"/>
                <w:szCs w:val="24"/>
                <w:lang w:eastAsia="zh-CN"/>
              </w:rPr>
              <w:t>没有国有资本经营收入，也没有使用国有资本经营</w:t>
            </w:r>
            <w:r>
              <w:rPr>
                <w:rFonts w:hint="default" w:ascii="Times New Roman" w:hAnsi="Times New Roman" w:eastAsia="宋体" w:cs="Times New Roman"/>
                <w:color w:val="auto"/>
                <w:kern w:val="0"/>
                <w:sz w:val="24"/>
                <w:szCs w:val="24"/>
              </w:rPr>
              <w:t>预算</w:t>
            </w:r>
            <w:r>
              <w:rPr>
                <w:rFonts w:hint="default" w:ascii="Times New Roman" w:hAnsi="Times New Roman" w:eastAsia="宋体" w:cs="Times New Roman"/>
                <w:color w:val="auto"/>
                <w:kern w:val="0"/>
                <w:sz w:val="24"/>
                <w:szCs w:val="24"/>
                <w:lang w:eastAsia="zh-CN"/>
              </w:rPr>
              <w:t>安排</w:t>
            </w:r>
            <w:r>
              <w:rPr>
                <w:rFonts w:hint="default" w:ascii="Times New Roman" w:hAnsi="Times New Roman" w:eastAsia="宋体" w:cs="Times New Roman"/>
                <w:color w:val="auto"/>
                <w:kern w:val="0"/>
                <w:sz w:val="24"/>
                <w:szCs w:val="24"/>
              </w:rPr>
              <w:t>支出</w:t>
            </w:r>
            <w:r>
              <w:rPr>
                <w:rFonts w:hint="default" w:ascii="Times New Roman" w:hAnsi="Times New Roman" w:eastAsia="宋体" w:cs="Times New Roman"/>
                <w:color w:val="auto"/>
                <w:kern w:val="0"/>
                <w:sz w:val="24"/>
                <w:szCs w:val="24"/>
                <w:lang w:eastAsia="zh-CN"/>
              </w:rPr>
              <w:t>，故本表无数据。</w:t>
            </w:r>
          </w:p>
        </w:tc>
      </w:tr>
    </w:tbl>
    <w:p>
      <w:pPr>
        <w:pStyle w:val="11"/>
        <w:rPr>
          <w:rFonts w:hint="default" w:ascii="Times New Roman" w:hAnsi="Times New Roman" w:cs="Times New Roman"/>
          <w:color w:val="auto"/>
          <w:sz w:val="72"/>
          <w:szCs w:val="72"/>
        </w:rPr>
        <w:sectPr>
          <w:pgSz w:w="16838" w:h="11906" w:orient="landscape"/>
          <w:pgMar w:top="720" w:right="720" w:bottom="720" w:left="720" w:header="851" w:footer="992" w:gutter="0"/>
          <w:cols w:space="425" w:num="1"/>
          <w:docGrid w:type="lines" w:linePitch="312" w:charSpace="0"/>
        </w:sectPr>
      </w:pPr>
    </w:p>
    <w:p>
      <w:pPr>
        <w:pStyle w:val="11"/>
        <w:rPr>
          <w:rFonts w:hint="default" w:ascii="Times New Roman" w:hAnsi="Times New Roman" w:cs="Times New Roman"/>
          <w:color w:val="auto"/>
          <w:sz w:val="72"/>
          <w:szCs w:val="72"/>
        </w:rPr>
      </w:pPr>
    </w:p>
    <w:p>
      <w:pPr>
        <w:pStyle w:val="11"/>
        <w:rPr>
          <w:rFonts w:hint="default" w:ascii="Times New Roman" w:hAnsi="Times New Roman" w:cs="Times New Roman"/>
          <w:color w:val="auto"/>
          <w:sz w:val="72"/>
          <w:szCs w:val="72"/>
        </w:rPr>
      </w:pPr>
    </w:p>
    <w:p>
      <w:pPr>
        <w:pStyle w:val="11"/>
        <w:rPr>
          <w:rFonts w:hint="default" w:ascii="Times New Roman" w:hAnsi="Times New Roman" w:cs="Times New Roman"/>
          <w:color w:val="auto"/>
          <w:sz w:val="72"/>
          <w:szCs w:val="72"/>
        </w:rPr>
      </w:pPr>
    </w:p>
    <w:p>
      <w:pPr>
        <w:pStyle w:val="11"/>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r>
        <w:rPr>
          <w:rFonts w:hint="default" w:ascii="Times New Roman" w:hAnsi="Times New Roman" w:cs="Times New Roman"/>
          <w:color w:val="auto"/>
          <w:sz w:val="72"/>
          <w:szCs w:val="72"/>
        </w:rPr>
        <w:t>第三部分</w:t>
      </w:r>
    </w:p>
    <w:p>
      <w:pPr>
        <w:pStyle w:val="11"/>
        <w:jc w:val="center"/>
        <w:rPr>
          <w:rFonts w:hint="default" w:ascii="Times New Roman" w:hAnsi="Times New Roman" w:cs="Times New Roman"/>
          <w:color w:val="auto"/>
          <w:sz w:val="70"/>
          <w:szCs w:val="70"/>
        </w:rPr>
      </w:pPr>
    </w:p>
    <w:p>
      <w:pPr>
        <w:pStyle w:val="11"/>
        <w:jc w:val="center"/>
        <w:rPr>
          <w:rFonts w:hint="default" w:ascii="Times New Roman" w:hAnsi="Times New Roman" w:cs="Times New Roman"/>
          <w:color w:val="auto"/>
          <w:sz w:val="70"/>
          <w:szCs w:val="70"/>
        </w:rPr>
      </w:pPr>
      <w:r>
        <w:rPr>
          <w:rFonts w:hint="default" w:ascii="Times New Roman" w:hAnsi="Times New Roman" w:cs="Times New Roman"/>
          <w:color w:val="auto"/>
          <w:sz w:val="70"/>
          <w:szCs w:val="70"/>
        </w:rPr>
        <w:t>2021年度部门决算情况说明</w:t>
      </w:r>
    </w:p>
    <w:p>
      <w:pPr>
        <w:widowControl/>
        <w:jc w:val="left"/>
        <w:rPr>
          <w:rFonts w:hint="default" w:ascii="Times New Roman" w:hAnsi="Times New Roman" w:eastAsia="黑体" w:cs="Times New Roman"/>
          <w:color w:val="auto"/>
          <w:kern w:val="0"/>
          <w:sz w:val="70"/>
          <w:szCs w:val="70"/>
        </w:rPr>
      </w:pPr>
      <w:r>
        <w:rPr>
          <w:rFonts w:hint="default" w:ascii="Times New Roman" w:hAnsi="Times New Roman" w:cs="Times New Roman"/>
          <w:color w:val="auto"/>
          <w:sz w:val="70"/>
          <w:szCs w:val="70"/>
        </w:rPr>
        <w:br w:type="page"/>
      </w:r>
    </w:p>
    <w:p>
      <w:pPr>
        <w:pStyle w:val="11"/>
        <w:ind w:firstLine="640" w:firstLineChars="200"/>
        <w:rPr>
          <w:rFonts w:hint="default" w:ascii="Times New Roman" w:hAnsi="Times New Roman" w:cs="Times New Roman"/>
          <w:b w:val="0"/>
          <w:bCs/>
          <w:color w:val="auto"/>
          <w:sz w:val="32"/>
          <w:szCs w:val="32"/>
        </w:rPr>
      </w:pPr>
      <w:r>
        <w:rPr>
          <w:rFonts w:hint="default" w:ascii="Times New Roman" w:hAnsi="Times New Roman" w:cs="Times New Roman"/>
          <w:b w:val="0"/>
          <w:bCs/>
          <w:color w:val="auto"/>
          <w:sz w:val="32"/>
          <w:szCs w:val="32"/>
        </w:rPr>
        <w:t>一、收入支出决算总体情况说明</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cs="Times New Roman" w:eastAsiaTheme="minorEastAsia"/>
          <w:color w:val="auto"/>
          <w:sz w:val="32"/>
          <w:szCs w:val="32"/>
          <w:highlight w:val="none"/>
        </w:rPr>
      </w:pPr>
      <w:r>
        <w:rPr>
          <w:rFonts w:hint="default" w:ascii="Times New Roman" w:hAnsi="Times New Roman" w:cs="Times New Roman" w:eastAsiaTheme="minorEastAsia"/>
          <w:color w:val="auto"/>
          <w:sz w:val="32"/>
          <w:szCs w:val="32"/>
          <w:highlight w:val="none"/>
        </w:rPr>
        <w:t>2021年度收、支总计</w:t>
      </w:r>
      <w:r>
        <w:rPr>
          <w:rFonts w:hint="default" w:ascii="Times New Roman" w:hAnsi="Times New Roman" w:cs="Times New Roman" w:eastAsiaTheme="minorEastAsia"/>
          <w:color w:val="auto"/>
          <w:sz w:val="32"/>
          <w:szCs w:val="32"/>
          <w:highlight w:val="none"/>
          <w:lang w:val="en-US" w:eastAsia="zh-CN"/>
        </w:rPr>
        <w:t>303.14</w:t>
      </w:r>
      <w:r>
        <w:rPr>
          <w:rFonts w:hint="default" w:ascii="Times New Roman" w:hAnsi="Times New Roman" w:cs="Times New Roman" w:eastAsiaTheme="minorEastAsia"/>
          <w:color w:val="auto"/>
          <w:sz w:val="32"/>
          <w:szCs w:val="32"/>
          <w:highlight w:val="none"/>
        </w:rPr>
        <w:t>万元。与上年相比，增加</w:t>
      </w:r>
      <w:r>
        <w:rPr>
          <w:rFonts w:hint="default" w:ascii="Times New Roman" w:hAnsi="Times New Roman" w:cs="Times New Roman" w:eastAsiaTheme="minorEastAsia"/>
          <w:color w:val="auto"/>
          <w:sz w:val="32"/>
          <w:szCs w:val="32"/>
          <w:highlight w:val="none"/>
          <w:lang w:val="en-US" w:eastAsia="zh-CN"/>
        </w:rPr>
        <w:t>205.23</w:t>
      </w:r>
      <w:r>
        <w:rPr>
          <w:rFonts w:hint="default" w:ascii="Times New Roman" w:hAnsi="Times New Roman" w:cs="Times New Roman" w:eastAsiaTheme="minorEastAsia"/>
          <w:color w:val="auto"/>
          <w:sz w:val="32"/>
          <w:szCs w:val="32"/>
          <w:highlight w:val="none"/>
        </w:rPr>
        <w:t>万元，增长</w:t>
      </w:r>
      <w:r>
        <w:rPr>
          <w:rFonts w:hint="default" w:ascii="Times New Roman" w:hAnsi="Times New Roman" w:cs="Times New Roman" w:eastAsiaTheme="minorEastAsia"/>
          <w:color w:val="auto"/>
          <w:sz w:val="32"/>
          <w:szCs w:val="32"/>
          <w:highlight w:val="none"/>
          <w:lang w:val="en-US" w:eastAsia="zh-CN"/>
        </w:rPr>
        <w:t>209.61%</w:t>
      </w:r>
      <w:r>
        <w:rPr>
          <w:rFonts w:hint="default" w:ascii="Times New Roman" w:hAnsi="Times New Roman" w:cs="Times New Roman" w:eastAsiaTheme="minorEastAsia"/>
          <w:color w:val="auto"/>
          <w:sz w:val="32"/>
          <w:szCs w:val="32"/>
          <w:highlight w:val="none"/>
        </w:rPr>
        <w:t>，主要是因为</w:t>
      </w:r>
      <w:r>
        <w:rPr>
          <w:rFonts w:hint="default" w:ascii="Times New Roman" w:hAnsi="Times New Roman" w:cs="Times New Roman" w:eastAsiaTheme="minorEastAsia"/>
          <w:color w:val="auto"/>
          <w:sz w:val="32"/>
          <w:szCs w:val="32"/>
          <w:highlight w:val="none"/>
          <w:lang w:val="en-US" w:eastAsia="zh-CN"/>
        </w:rPr>
        <w:t>2020年为新增预算单位，2021年开始正常核算中心日常开支财务情况。</w:t>
      </w:r>
    </w:p>
    <w:p>
      <w:pPr>
        <w:pStyle w:val="11"/>
        <w:ind w:firstLine="640" w:firstLineChars="200"/>
        <w:rPr>
          <w:rFonts w:hint="default" w:ascii="Times New Roman" w:hAnsi="Times New Roman" w:cs="Times New Roman"/>
          <w:b w:val="0"/>
          <w:bCs/>
          <w:color w:val="auto"/>
          <w:sz w:val="32"/>
          <w:szCs w:val="32"/>
        </w:rPr>
      </w:pPr>
      <w:r>
        <w:rPr>
          <w:rFonts w:hint="default" w:ascii="Times New Roman" w:hAnsi="Times New Roman" w:cs="Times New Roman"/>
          <w:b w:val="0"/>
          <w:bCs/>
          <w:color w:val="auto"/>
          <w:sz w:val="32"/>
          <w:szCs w:val="32"/>
        </w:rPr>
        <w:t>二、收入决算情况说明</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cs="Times New Roman" w:eastAsiaTheme="minorEastAsia"/>
          <w:color w:val="auto"/>
          <w:sz w:val="32"/>
          <w:szCs w:val="32"/>
          <w:highlight w:val="none"/>
        </w:rPr>
      </w:pPr>
      <w:r>
        <w:rPr>
          <w:rFonts w:hint="default" w:ascii="Times New Roman" w:hAnsi="Times New Roman" w:cs="Times New Roman" w:eastAsiaTheme="minorEastAsia"/>
          <w:color w:val="auto"/>
          <w:sz w:val="32"/>
          <w:szCs w:val="32"/>
          <w:highlight w:val="none"/>
        </w:rPr>
        <w:t>2021年度收入合计</w:t>
      </w:r>
      <w:r>
        <w:rPr>
          <w:rFonts w:hint="default" w:ascii="Times New Roman" w:hAnsi="Times New Roman" w:cs="Times New Roman" w:eastAsiaTheme="minorEastAsia"/>
          <w:color w:val="auto"/>
          <w:sz w:val="32"/>
          <w:szCs w:val="32"/>
          <w:highlight w:val="none"/>
          <w:lang w:val="en-US" w:eastAsia="zh-CN"/>
        </w:rPr>
        <w:t>303.14</w:t>
      </w:r>
      <w:r>
        <w:rPr>
          <w:rFonts w:hint="default" w:ascii="Times New Roman" w:hAnsi="Times New Roman" w:cs="Times New Roman" w:eastAsiaTheme="minorEastAsia"/>
          <w:color w:val="auto"/>
          <w:sz w:val="32"/>
          <w:szCs w:val="32"/>
          <w:highlight w:val="none"/>
        </w:rPr>
        <w:t>万元，其中：财政拨款收入</w:t>
      </w:r>
      <w:r>
        <w:rPr>
          <w:rFonts w:hint="default" w:ascii="Times New Roman" w:hAnsi="Times New Roman" w:cs="Times New Roman" w:eastAsiaTheme="minorEastAsia"/>
          <w:color w:val="auto"/>
          <w:sz w:val="32"/>
          <w:szCs w:val="32"/>
          <w:highlight w:val="none"/>
          <w:lang w:val="en-US" w:eastAsia="zh-CN"/>
        </w:rPr>
        <w:t>303.14</w:t>
      </w:r>
      <w:r>
        <w:rPr>
          <w:rFonts w:hint="default" w:ascii="Times New Roman" w:hAnsi="Times New Roman" w:cs="Times New Roman" w:eastAsiaTheme="minorEastAsia"/>
          <w:color w:val="auto"/>
          <w:sz w:val="32"/>
          <w:szCs w:val="32"/>
          <w:highlight w:val="none"/>
        </w:rPr>
        <w:t>万元，占</w:t>
      </w:r>
      <w:r>
        <w:rPr>
          <w:rFonts w:hint="default" w:ascii="Times New Roman" w:hAnsi="Times New Roman" w:cs="Times New Roman" w:eastAsiaTheme="minorEastAsia"/>
          <w:color w:val="auto"/>
          <w:sz w:val="32"/>
          <w:szCs w:val="32"/>
          <w:highlight w:val="none"/>
          <w:lang w:val="en-US" w:eastAsia="zh-CN"/>
        </w:rPr>
        <w:t>100</w:t>
      </w:r>
      <w:r>
        <w:rPr>
          <w:rFonts w:hint="default" w:ascii="Times New Roman" w:hAnsi="Times New Roman" w:cs="Times New Roman" w:eastAsiaTheme="minorEastAsia"/>
          <w:color w:val="auto"/>
          <w:sz w:val="32"/>
          <w:szCs w:val="32"/>
          <w:highlight w:val="none"/>
        </w:rPr>
        <w:t>%。</w:t>
      </w:r>
    </w:p>
    <w:p>
      <w:pPr>
        <w:pStyle w:val="11"/>
        <w:ind w:firstLine="640" w:firstLineChars="200"/>
        <w:rPr>
          <w:rFonts w:hint="default" w:ascii="Times New Roman" w:hAnsi="Times New Roman" w:cs="Times New Roman"/>
          <w:b w:val="0"/>
          <w:bCs/>
          <w:color w:val="auto"/>
          <w:sz w:val="32"/>
          <w:szCs w:val="32"/>
        </w:rPr>
      </w:pPr>
      <w:r>
        <w:rPr>
          <w:rFonts w:hint="default" w:ascii="Times New Roman" w:hAnsi="Times New Roman" w:cs="Times New Roman"/>
          <w:b w:val="0"/>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default" w:ascii="Times New Roman" w:hAnsi="Times New Roman" w:cs="Times New Roman" w:eastAsiaTheme="minorEastAsia"/>
          <w:color w:val="auto"/>
          <w:sz w:val="32"/>
          <w:szCs w:val="32"/>
          <w:highlight w:val="none"/>
        </w:rPr>
      </w:pPr>
      <w:r>
        <w:rPr>
          <w:rFonts w:hint="default" w:ascii="Times New Roman" w:hAnsi="Times New Roman" w:cs="Times New Roman" w:eastAsiaTheme="minorEastAsia"/>
          <w:color w:val="auto"/>
          <w:sz w:val="32"/>
          <w:szCs w:val="32"/>
          <w:highlight w:val="none"/>
        </w:rPr>
        <w:t>2021年度支出合计</w:t>
      </w:r>
      <w:r>
        <w:rPr>
          <w:rFonts w:hint="default" w:ascii="Times New Roman" w:hAnsi="Times New Roman" w:cs="Times New Roman" w:eastAsiaTheme="minorEastAsia"/>
          <w:color w:val="auto"/>
          <w:sz w:val="32"/>
          <w:szCs w:val="32"/>
          <w:highlight w:val="none"/>
          <w:lang w:val="en-US" w:eastAsia="zh-CN"/>
        </w:rPr>
        <w:t>279.24</w:t>
      </w:r>
      <w:r>
        <w:rPr>
          <w:rFonts w:hint="default" w:ascii="Times New Roman" w:hAnsi="Times New Roman" w:cs="Times New Roman" w:eastAsiaTheme="minorEastAsia"/>
          <w:color w:val="auto"/>
          <w:sz w:val="32"/>
          <w:szCs w:val="32"/>
          <w:highlight w:val="none"/>
        </w:rPr>
        <w:t>万元，其中：基本支出</w:t>
      </w:r>
      <w:r>
        <w:rPr>
          <w:rFonts w:hint="default" w:ascii="Times New Roman" w:hAnsi="Times New Roman" w:cs="Times New Roman" w:eastAsiaTheme="minorEastAsia"/>
          <w:color w:val="auto"/>
          <w:sz w:val="32"/>
          <w:szCs w:val="32"/>
          <w:highlight w:val="none"/>
          <w:lang w:val="en-US" w:eastAsia="zh-CN"/>
        </w:rPr>
        <w:t>131.84</w:t>
      </w:r>
      <w:r>
        <w:rPr>
          <w:rFonts w:hint="default" w:ascii="Times New Roman" w:hAnsi="Times New Roman" w:cs="Times New Roman" w:eastAsiaTheme="minorEastAsia"/>
          <w:color w:val="auto"/>
          <w:sz w:val="32"/>
          <w:szCs w:val="32"/>
          <w:highlight w:val="none"/>
        </w:rPr>
        <w:t>万元，占</w:t>
      </w:r>
      <w:r>
        <w:rPr>
          <w:rFonts w:hint="default" w:ascii="Times New Roman" w:hAnsi="Times New Roman" w:cs="Times New Roman" w:eastAsiaTheme="minorEastAsia"/>
          <w:color w:val="auto"/>
          <w:sz w:val="32"/>
          <w:szCs w:val="32"/>
          <w:highlight w:val="none"/>
          <w:lang w:val="en-US" w:eastAsia="zh-CN"/>
        </w:rPr>
        <w:t>47.21</w:t>
      </w:r>
      <w:r>
        <w:rPr>
          <w:rFonts w:hint="default" w:ascii="Times New Roman" w:hAnsi="Times New Roman" w:cs="Times New Roman" w:eastAsiaTheme="minorEastAsia"/>
          <w:color w:val="auto"/>
          <w:sz w:val="32"/>
          <w:szCs w:val="32"/>
          <w:highlight w:val="none"/>
        </w:rPr>
        <w:t>%；项目支出</w:t>
      </w:r>
      <w:r>
        <w:rPr>
          <w:rFonts w:hint="default" w:ascii="Times New Roman" w:hAnsi="Times New Roman" w:cs="Times New Roman" w:eastAsiaTheme="minorEastAsia"/>
          <w:color w:val="auto"/>
          <w:sz w:val="32"/>
          <w:szCs w:val="32"/>
          <w:highlight w:val="none"/>
          <w:lang w:val="en-US" w:eastAsia="zh-CN"/>
        </w:rPr>
        <w:t>147.40</w:t>
      </w:r>
      <w:r>
        <w:rPr>
          <w:rFonts w:hint="default" w:ascii="Times New Roman" w:hAnsi="Times New Roman" w:cs="Times New Roman" w:eastAsiaTheme="minorEastAsia"/>
          <w:color w:val="auto"/>
          <w:sz w:val="32"/>
          <w:szCs w:val="32"/>
          <w:highlight w:val="none"/>
        </w:rPr>
        <w:t>万元，占</w:t>
      </w:r>
      <w:r>
        <w:rPr>
          <w:rFonts w:hint="default" w:ascii="Times New Roman" w:hAnsi="Times New Roman" w:cs="Times New Roman" w:eastAsiaTheme="minorEastAsia"/>
          <w:color w:val="auto"/>
          <w:sz w:val="32"/>
          <w:szCs w:val="32"/>
          <w:highlight w:val="none"/>
          <w:lang w:val="en-US" w:eastAsia="zh-CN"/>
        </w:rPr>
        <w:t>52.79</w:t>
      </w:r>
      <w:r>
        <w:rPr>
          <w:rFonts w:hint="default" w:ascii="Times New Roman" w:hAnsi="Times New Roman" w:cs="Times New Roman" w:eastAsiaTheme="minorEastAsia"/>
          <w:color w:val="auto"/>
          <w:sz w:val="32"/>
          <w:szCs w:val="32"/>
          <w:highlight w:val="none"/>
        </w:rPr>
        <w:t>%。</w:t>
      </w:r>
    </w:p>
    <w:p>
      <w:pPr>
        <w:pStyle w:val="11"/>
        <w:ind w:firstLine="640" w:firstLineChars="200"/>
        <w:rPr>
          <w:rFonts w:hint="default" w:ascii="Times New Roman" w:hAnsi="Times New Roman" w:cs="Times New Roman"/>
          <w:b w:val="0"/>
          <w:bCs/>
          <w:color w:val="auto"/>
          <w:sz w:val="32"/>
          <w:szCs w:val="32"/>
        </w:rPr>
      </w:pPr>
      <w:r>
        <w:rPr>
          <w:rFonts w:hint="default" w:ascii="Times New Roman" w:hAnsi="Times New Roman" w:cs="Times New Roman"/>
          <w:b w:val="0"/>
          <w:bCs/>
          <w:color w:val="auto"/>
          <w:sz w:val="32"/>
          <w:szCs w:val="32"/>
        </w:rPr>
        <w:t>四、财政拨款收入支出决算总体情况说明</w:t>
      </w:r>
    </w:p>
    <w:p>
      <w:pPr>
        <w:pStyle w:val="11"/>
        <w:ind w:firstLine="640"/>
        <w:jc w:val="both"/>
        <w:rPr>
          <w:rFonts w:hint="default" w:ascii="Times New Roman" w:hAnsi="Times New Roman" w:cs="Times New Roman" w:eastAsiaTheme="minorEastAsia"/>
          <w:color w:val="auto"/>
          <w:sz w:val="32"/>
          <w:szCs w:val="32"/>
          <w:lang w:val="en-US" w:eastAsia="zh-CN"/>
        </w:rPr>
      </w:pPr>
      <w:r>
        <w:rPr>
          <w:rFonts w:hint="default" w:ascii="Times New Roman" w:hAnsi="Times New Roman" w:cs="Times New Roman" w:eastAsiaTheme="minorEastAsia"/>
          <w:color w:val="auto"/>
          <w:kern w:val="2"/>
          <w:sz w:val="32"/>
          <w:szCs w:val="32"/>
          <w:highlight w:val="none"/>
          <w:lang w:val="en-US" w:eastAsia="zh-CN" w:bidi="ar-SA"/>
        </w:rPr>
        <w:t>2021年度财政拨款收、支总计303.14万元，与上年相比，增加205.23万元,增长209.61%，主要是因为2020年为新增预算单位，2021年开始正常核算中心日常开支财务情况。</w:t>
      </w:r>
    </w:p>
    <w:p>
      <w:pPr>
        <w:pStyle w:val="11"/>
        <w:ind w:firstLine="640" w:firstLineChars="200"/>
        <w:rPr>
          <w:rFonts w:hint="default" w:ascii="Times New Roman" w:hAnsi="Times New Roman" w:cs="Times New Roman"/>
          <w:b w:val="0"/>
          <w:bCs/>
          <w:color w:val="auto"/>
          <w:sz w:val="32"/>
          <w:szCs w:val="32"/>
        </w:rPr>
      </w:pPr>
      <w:r>
        <w:rPr>
          <w:rFonts w:hint="default" w:ascii="Times New Roman" w:hAnsi="Times New Roman" w:cs="Times New Roman"/>
          <w:b w:val="0"/>
          <w:bCs/>
          <w:color w:val="auto"/>
          <w:sz w:val="32"/>
          <w:szCs w:val="32"/>
        </w:rPr>
        <w:t>五、一般公共预算财政拨款支出决算情况说明</w:t>
      </w:r>
    </w:p>
    <w:p>
      <w:pPr>
        <w:pStyle w:val="11"/>
        <w:ind w:firstLine="640" w:firstLineChars="200"/>
        <w:rPr>
          <w:rFonts w:hint="default" w:ascii="Times New Roman" w:hAnsi="Times New Roman" w:cs="Times New Roman" w:eastAsiaTheme="minorEastAsia"/>
          <w:b/>
          <w:color w:val="auto"/>
          <w:sz w:val="32"/>
          <w:szCs w:val="32"/>
        </w:rPr>
      </w:pPr>
      <w:r>
        <w:rPr>
          <w:rFonts w:hint="default" w:ascii="Times New Roman" w:hAnsi="Times New Roman" w:cs="Times New Roman" w:eastAsiaTheme="minorEastAsia"/>
          <w:b/>
          <w:color w:val="auto"/>
          <w:sz w:val="32"/>
          <w:szCs w:val="32"/>
        </w:rPr>
        <w:t>（一）财政拨款支出决算总体情况</w:t>
      </w:r>
    </w:p>
    <w:p>
      <w:pPr>
        <w:pStyle w:val="11"/>
        <w:ind w:firstLine="640"/>
        <w:jc w:val="both"/>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2021年度财政拨款支出279.24万元，占本年支出合计的100%，与上年相比，财政拨款支出增加231.33万元，增长482.84%，主要是因为2020年为新增预算单位，2021年开始正常核算中心日常开支财务情况。</w:t>
      </w:r>
    </w:p>
    <w:p>
      <w:pPr>
        <w:pStyle w:val="11"/>
        <w:ind w:firstLine="640" w:firstLineChars="200"/>
        <w:rPr>
          <w:rFonts w:hint="default" w:ascii="Times New Roman" w:hAnsi="Times New Roman" w:cs="Times New Roman" w:eastAsiaTheme="minorEastAsia"/>
          <w:b/>
          <w:color w:val="auto"/>
          <w:sz w:val="32"/>
          <w:szCs w:val="32"/>
        </w:rPr>
      </w:pPr>
      <w:r>
        <w:rPr>
          <w:rFonts w:hint="default" w:ascii="Times New Roman" w:hAnsi="Times New Roman" w:cs="Times New Roman" w:eastAsiaTheme="minorEastAsia"/>
          <w:b/>
          <w:color w:val="auto"/>
          <w:sz w:val="32"/>
          <w:szCs w:val="32"/>
        </w:rPr>
        <w:t>（二）财政拨款支出决算结构情况</w:t>
      </w:r>
    </w:p>
    <w:p>
      <w:pPr>
        <w:pStyle w:val="11"/>
        <w:ind w:firstLine="640"/>
        <w:jc w:val="both"/>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2021年度财政拨款支出279.24万元，主要用于以下方面：科学技术支出242.58万元，占86.87%；社会保障和就业支出14.04万元，占5.03%；住房保障支出22.62万元，占8.10%。</w:t>
      </w:r>
    </w:p>
    <w:p>
      <w:pPr>
        <w:pStyle w:val="11"/>
        <w:ind w:firstLine="640" w:firstLineChars="200"/>
        <w:rPr>
          <w:rFonts w:hint="default" w:ascii="Times New Roman" w:hAnsi="Times New Roman" w:cs="Times New Roman" w:eastAsiaTheme="minorEastAsia"/>
          <w:b/>
          <w:color w:val="auto"/>
          <w:sz w:val="32"/>
          <w:szCs w:val="32"/>
        </w:rPr>
      </w:pPr>
      <w:r>
        <w:rPr>
          <w:rFonts w:hint="default" w:ascii="Times New Roman" w:hAnsi="Times New Roman" w:cs="Times New Roman" w:eastAsiaTheme="minorEastAsia"/>
          <w:b/>
          <w:color w:val="auto"/>
          <w:sz w:val="32"/>
          <w:szCs w:val="32"/>
        </w:rPr>
        <w:t>（三）财政拨款支出决算具体情况</w:t>
      </w:r>
    </w:p>
    <w:p>
      <w:pPr>
        <w:pStyle w:val="11"/>
        <w:ind w:firstLine="640"/>
        <w:jc w:val="both"/>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2021年度财政拨款支出年初预算数为</w:t>
      </w:r>
      <w:r>
        <w:rPr>
          <w:rFonts w:hint="eastAsia" w:ascii="Times New Roman" w:hAnsi="Times New Roman" w:cs="Times New Roman" w:eastAsiaTheme="minorEastAsia"/>
          <w:color w:val="auto"/>
          <w:kern w:val="2"/>
          <w:sz w:val="32"/>
          <w:szCs w:val="32"/>
          <w:highlight w:val="none"/>
          <w:lang w:val="en-US" w:eastAsia="zh-CN" w:bidi="ar-SA"/>
        </w:rPr>
        <w:t>293.14</w:t>
      </w:r>
      <w:r>
        <w:rPr>
          <w:rFonts w:hint="default" w:ascii="Times New Roman" w:hAnsi="Times New Roman" w:cs="Times New Roman" w:eastAsiaTheme="minorEastAsia"/>
          <w:color w:val="auto"/>
          <w:kern w:val="2"/>
          <w:sz w:val="32"/>
          <w:szCs w:val="32"/>
          <w:highlight w:val="none"/>
          <w:lang w:val="en-US" w:eastAsia="zh-CN" w:bidi="ar-SA"/>
        </w:rPr>
        <w:t>万元，支出决算数为279.24万元，完成年初预算的</w:t>
      </w:r>
      <w:r>
        <w:rPr>
          <w:rFonts w:hint="eastAsia" w:ascii="Times New Roman" w:hAnsi="Times New Roman" w:cs="Times New Roman" w:eastAsiaTheme="minorEastAsia"/>
          <w:color w:val="auto"/>
          <w:kern w:val="2"/>
          <w:sz w:val="32"/>
          <w:szCs w:val="32"/>
          <w:highlight w:val="none"/>
          <w:lang w:val="en-US" w:eastAsia="zh-CN" w:bidi="ar-SA"/>
        </w:rPr>
        <w:t>95.26</w:t>
      </w:r>
      <w:r>
        <w:rPr>
          <w:rFonts w:hint="default" w:ascii="Times New Roman" w:hAnsi="Times New Roman" w:cs="Times New Roman" w:eastAsiaTheme="minorEastAsia"/>
          <w:color w:val="auto"/>
          <w:kern w:val="2"/>
          <w:sz w:val="32"/>
          <w:szCs w:val="32"/>
          <w:highlight w:val="none"/>
          <w:lang w:val="en-US" w:eastAsia="zh-CN" w:bidi="ar-SA"/>
        </w:rPr>
        <w:t>%，其中：</w:t>
      </w:r>
    </w:p>
    <w:p>
      <w:pPr>
        <w:pStyle w:val="11"/>
        <w:ind w:firstLine="640" w:firstLineChars="200"/>
        <w:jc w:val="both"/>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1、科学技术支出（类）应用研究（款）机构运行（项）。</w:t>
      </w:r>
    </w:p>
    <w:p>
      <w:pPr>
        <w:pStyle w:val="11"/>
        <w:ind w:firstLine="640"/>
        <w:jc w:val="both"/>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年初预算为95.18万元，支出决算为95.18万元，完成年初预算的100%。</w:t>
      </w:r>
    </w:p>
    <w:p>
      <w:pPr>
        <w:pStyle w:val="11"/>
        <w:ind w:firstLine="640"/>
        <w:jc w:val="both"/>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2、科学技术支出（类）应用研究（款）社会公益研究（项）。</w:t>
      </w:r>
    </w:p>
    <w:p>
      <w:pPr>
        <w:pStyle w:val="11"/>
        <w:ind w:firstLine="640" w:firstLineChars="200"/>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年初预算为110万元，支出决算为106.75万元，完成年初预算的97.05%</w:t>
      </w:r>
      <w:r>
        <w:rPr>
          <w:rFonts w:hint="eastAsia" w:asciiTheme="minorEastAsia" w:hAnsiTheme="minorEastAsia" w:eastAsiaTheme="minorEastAsia"/>
          <w:color w:val="auto"/>
          <w:sz w:val="32"/>
          <w:szCs w:val="32"/>
        </w:rPr>
        <w:t>，决算数小于年初预算数的主要原因是：</w:t>
      </w:r>
      <w:r>
        <w:rPr>
          <w:rFonts w:hint="default" w:ascii="Times New Roman" w:hAnsi="Times New Roman" w:cs="Times New Roman" w:eastAsiaTheme="minorEastAsia"/>
          <w:color w:val="auto"/>
          <w:sz w:val="32"/>
          <w:szCs w:val="32"/>
        </w:rPr>
        <w:t>202</w:t>
      </w:r>
      <w:r>
        <w:rPr>
          <w:rFonts w:hint="eastAsia" w:ascii="Times New Roman" w:hAnsi="Times New Roman" w:cs="Times New Roman" w:eastAsiaTheme="minorEastAsia"/>
          <w:color w:val="auto"/>
          <w:sz w:val="32"/>
          <w:szCs w:val="32"/>
          <w:lang w:val="en-US" w:eastAsia="zh-CN"/>
        </w:rPr>
        <w:t>1</w:t>
      </w:r>
      <w:r>
        <w:rPr>
          <w:rFonts w:hint="default" w:ascii="Times New Roman" w:hAnsi="Times New Roman" w:cs="Times New Roman" w:eastAsiaTheme="minorEastAsia"/>
          <w:color w:val="auto"/>
          <w:sz w:val="32"/>
          <w:szCs w:val="32"/>
        </w:rPr>
        <w:t>年受新冠疫情影响</w:t>
      </w:r>
      <w:r>
        <w:rPr>
          <w:rFonts w:hint="eastAsia" w:ascii="Times New Roman" w:hAnsi="Times New Roman" w:cs="Times New Roman" w:eastAsiaTheme="minorEastAsia"/>
          <w:color w:val="auto"/>
          <w:sz w:val="32"/>
          <w:szCs w:val="32"/>
          <w:lang w:eastAsia="zh-CN"/>
        </w:rPr>
        <w:t>，</w:t>
      </w:r>
      <w:r>
        <w:rPr>
          <w:rFonts w:hint="default" w:ascii="Times New Roman" w:hAnsi="Times New Roman" w:cs="Times New Roman" w:eastAsiaTheme="minorEastAsia"/>
          <w:color w:val="auto"/>
          <w:sz w:val="32"/>
          <w:szCs w:val="32"/>
        </w:rPr>
        <w:t>部分工作组织实施方式由线下改为线上，经费开支减少。</w:t>
      </w:r>
    </w:p>
    <w:p>
      <w:pPr>
        <w:pStyle w:val="11"/>
        <w:ind w:firstLine="640"/>
        <w:jc w:val="both"/>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3、科学技术支出（类）科技条件与服务（款）其他科技条件与服务支出（项）。</w:t>
      </w:r>
    </w:p>
    <w:p>
      <w:pPr>
        <w:pStyle w:val="11"/>
        <w:ind w:firstLine="640" w:firstLineChars="200"/>
        <w:rPr>
          <w:rFonts w:hint="eastAsia"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年初预算为</w:t>
      </w:r>
      <w:r>
        <w:rPr>
          <w:rFonts w:hint="eastAsia" w:ascii="Times New Roman" w:hAnsi="Times New Roman" w:cs="Times New Roman" w:eastAsiaTheme="minorEastAsia"/>
          <w:color w:val="auto"/>
          <w:kern w:val="2"/>
          <w:sz w:val="32"/>
          <w:szCs w:val="32"/>
          <w:highlight w:val="none"/>
          <w:lang w:val="en-US" w:eastAsia="zh-CN" w:bidi="ar-SA"/>
        </w:rPr>
        <w:t>50</w:t>
      </w:r>
      <w:r>
        <w:rPr>
          <w:rFonts w:hint="default" w:ascii="Times New Roman" w:hAnsi="Times New Roman" w:cs="Times New Roman" w:eastAsiaTheme="minorEastAsia"/>
          <w:color w:val="auto"/>
          <w:kern w:val="2"/>
          <w:sz w:val="32"/>
          <w:szCs w:val="32"/>
          <w:highlight w:val="none"/>
          <w:lang w:val="en-US" w:eastAsia="zh-CN" w:bidi="ar-SA"/>
        </w:rPr>
        <w:t>万元，支出决算为40.65万元，完成年初预算的81.30%</w:t>
      </w:r>
      <w:r>
        <w:rPr>
          <w:rFonts w:hint="eastAsia" w:ascii="Times New Roman" w:hAnsi="Times New Roman" w:cs="Times New Roman" w:eastAsiaTheme="minorEastAsia"/>
          <w:color w:val="auto"/>
          <w:kern w:val="2"/>
          <w:sz w:val="32"/>
          <w:szCs w:val="32"/>
          <w:highlight w:val="none"/>
          <w:lang w:val="en-US" w:eastAsia="zh-CN" w:bidi="ar-SA"/>
        </w:rPr>
        <w:t>，</w:t>
      </w:r>
      <w:r>
        <w:rPr>
          <w:rFonts w:hint="eastAsia" w:asciiTheme="minorEastAsia" w:hAnsiTheme="minorEastAsia" w:eastAsiaTheme="minorEastAsia"/>
          <w:color w:val="auto"/>
          <w:sz w:val="32"/>
          <w:szCs w:val="32"/>
        </w:rPr>
        <w:t>决算数小于年初预算数的主要原因是：</w:t>
      </w:r>
      <w:r>
        <w:rPr>
          <w:rFonts w:hint="default" w:ascii="Times New Roman" w:hAnsi="Times New Roman" w:cs="Times New Roman" w:eastAsiaTheme="minorEastAsia"/>
          <w:color w:val="auto"/>
          <w:sz w:val="32"/>
          <w:szCs w:val="32"/>
        </w:rPr>
        <w:t>202</w:t>
      </w:r>
      <w:r>
        <w:rPr>
          <w:rFonts w:hint="eastAsia" w:ascii="Times New Roman" w:hAnsi="Times New Roman" w:cs="Times New Roman" w:eastAsiaTheme="minorEastAsia"/>
          <w:color w:val="auto"/>
          <w:sz w:val="32"/>
          <w:szCs w:val="32"/>
          <w:lang w:val="en-US" w:eastAsia="zh-CN"/>
        </w:rPr>
        <w:t>1</w:t>
      </w:r>
      <w:r>
        <w:rPr>
          <w:rFonts w:hint="default" w:ascii="Times New Roman" w:hAnsi="Times New Roman" w:cs="Times New Roman" w:eastAsiaTheme="minorEastAsia"/>
          <w:color w:val="auto"/>
          <w:sz w:val="32"/>
          <w:szCs w:val="32"/>
        </w:rPr>
        <w:t>年受新冠疫情影响</w:t>
      </w:r>
      <w:r>
        <w:rPr>
          <w:rFonts w:hint="eastAsia" w:ascii="Times New Roman" w:hAnsi="Times New Roman" w:cs="Times New Roman" w:eastAsiaTheme="minorEastAsia"/>
          <w:color w:val="auto"/>
          <w:sz w:val="32"/>
          <w:szCs w:val="32"/>
          <w:lang w:eastAsia="zh-CN"/>
        </w:rPr>
        <w:t>，</w:t>
      </w:r>
      <w:r>
        <w:rPr>
          <w:rFonts w:hint="default" w:ascii="Times New Roman" w:hAnsi="Times New Roman" w:cs="Times New Roman" w:eastAsiaTheme="minorEastAsia"/>
          <w:color w:val="auto"/>
          <w:sz w:val="32"/>
          <w:szCs w:val="32"/>
        </w:rPr>
        <w:t>部分工作组织实施方式由线下改为线上</w:t>
      </w:r>
      <w:r>
        <w:rPr>
          <w:rFonts w:hint="eastAsia" w:ascii="Times New Roman" w:hAnsi="Times New Roman" w:cs="Times New Roman" w:eastAsiaTheme="minorEastAsia"/>
          <w:color w:val="auto"/>
          <w:sz w:val="32"/>
          <w:szCs w:val="32"/>
          <w:lang w:eastAsia="zh-CN"/>
        </w:rPr>
        <w:t>，</w:t>
      </w:r>
      <w:r>
        <w:rPr>
          <w:rFonts w:hint="default" w:ascii="Times New Roman" w:hAnsi="Times New Roman" w:cs="Times New Roman" w:eastAsiaTheme="minorEastAsia"/>
          <w:color w:val="auto"/>
          <w:sz w:val="32"/>
          <w:szCs w:val="32"/>
        </w:rPr>
        <w:t>经费开支减少。</w:t>
      </w:r>
    </w:p>
    <w:p>
      <w:pPr>
        <w:pStyle w:val="11"/>
        <w:ind w:firstLine="640"/>
        <w:jc w:val="both"/>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4、社会保障和就业支出（类）行政事业单位养老支出（款）机关事业单位基本养老保险缴费支出（项）。</w:t>
      </w:r>
    </w:p>
    <w:p>
      <w:pPr>
        <w:pStyle w:val="11"/>
        <w:ind w:firstLine="640"/>
        <w:jc w:val="both"/>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年初预算为14.04万元，支出决算为14.04万元，完成年初预算的100%。</w:t>
      </w:r>
    </w:p>
    <w:p>
      <w:pPr>
        <w:pStyle w:val="11"/>
        <w:ind w:firstLine="640"/>
        <w:jc w:val="both"/>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5、住房保障支出（类）住房改革支出（款）住房公积金（项）。</w:t>
      </w:r>
    </w:p>
    <w:p>
      <w:pPr>
        <w:pStyle w:val="11"/>
        <w:ind w:firstLine="640" w:firstLineChars="200"/>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年初预算为14.95万元，支出决算为14.93万元，完成年初预算的99.87%</w:t>
      </w:r>
      <w:r>
        <w:rPr>
          <w:rFonts w:hint="eastAsia" w:ascii="Times New Roman" w:hAnsi="Times New Roman" w:cs="Times New Roman" w:eastAsiaTheme="minorEastAsia"/>
          <w:color w:val="auto"/>
          <w:kern w:val="2"/>
          <w:sz w:val="32"/>
          <w:szCs w:val="32"/>
          <w:highlight w:val="none"/>
          <w:lang w:val="en-US" w:eastAsia="zh-CN" w:bidi="ar-SA"/>
        </w:rPr>
        <w:t>，</w:t>
      </w:r>
      <w:r>
        <w:rPr>
          <w:rFonts w:hint="eastAsia" w:asciiTheme="minorEastAsia" w:hAnsiTheme="minorEastAsia" w:eastAsiaTheme="minorEastAsia"/>
          <w:color w:val="auto"/>
          <w:sz w:val="32"/>
          <w:szCs w:val="32"/>
        </w:rPr>
        <w:t>决算数</w:t>
      </w:r>
      <w:r>
        <w:rPr>
          <w:rFonts w:hint="eastAsia" w:asciiTheme="minorEastAsia" w:hAnsiTheme="minorEastAsia" w:eastAsiaTheme="minorEastAsia"/>
          <w:color w:val="auto"/>
          <w:sz w:val="32"/>
          <w:szCs w:val="32"/>
          <w:lang w:val="en-US" w:eastAsia="zh-CN"/>
        </w:rPr>
        <w:t>小</w:t>
      </w:r>
      <w:r>
        <w:rPr>
          <w:rFonts w:hint="eastAsia" w:asciiTheme="minorEastAsia" w:hAnsiTheme="minorEastAsia" w:eastAsiaTheme="minorEastAsia"/>
          <w:color w:val="auto"/>
          <w:sz w:val="32"/>
          <w:szCs w:val="32"/>
        </w:rPr>
        <w:t>于年初预算数的主要原因是：</w:t>
      </w:r>
      <w:r>
        <w:rPr>
          <w:rFonts w:hint="eastAsia" w:ascii="Times New Roman" w:hAnsi="Times New Roman" w:cs="Times New Roman" w:eastAsiaTheme="minorEastAsia"/>
          <w:color w:val="auto"/>
          <w:sz w:val="32"/>
          <w:szCs w:val="32"/>
          <w:lang w:val="en-US" w:eastAsia="zh-CN"/>
        </w:rPr>
        <w:t>2021年有2名在编人员发生岗位异动，调离中心，</w:t>
      </w:r>
      <w:r>
        <w:rPr>
          <w:rFonts w:hint="default" w:ascii="Times New Roman" w:hAnsi="Times New Roman" w:cs="Times New Roman" w:eastAsiaTheme="minorEastAsia"/>
          <w:color w:val="auto"/>
          <w:sz w:val="32"/>
          <w:szCs w:val="32"/>
        </w:rPr>
        <w:t>经费开支减少。</w:t>
      </w:r>
    </w:p>
    <w:p>
      <w:pPr>
        <w:pStyle w:val="11"/>
        <w:ind w:firstLine="640"/>
        <w:jc w:val="both"/>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6、住房保障支出（类）住房改革支出（款）购房补贴（项）。</w:t>
      </w:r>
    </w:p>
    <w:p>
      <w:pPr>
        <w:pStyle w:val="11"/>
        <w:ind w:firstLine="640" w:firstLineChars="200"/>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年初预算为8.97万元，支出决算为7.69万元，完成年初预算的85.73%</w:t>
      </w:r>
      <w:r>
        <w:rPr>
          <w:rFonts w:hint="eastAsia" w:ascii="Times New Roman" w:hAnsi="Times New Roman" w:cs="Times New Roman" w:eastAsiaTheme="minorEastAsia"/>
          <w:color w:val="auto"/>
          <w:kern w:val="2"/>
          <w:sz w:val="32"/>
          <w:szCs w:val="32"/>
          <w:highlight w:val="none"/>
          <w:lang w:val="en-US" w:eastAsia="zh-CN" w:bidi="ar-SA"/>
        </w:rPr>
        <w:t>，</w:t>
      </w:r>
      <w:r>
        <w:rPr>
          <w:rFonts w:hint="eastAsia" w:asciiTheme="minorEastAsia" w:hAnsiTheme="minorEastAsia" w:eastAsiaTheme="minorEastAsia"/>
          <w:color w:val="auto"/>
          <w:sz w:val="32"/>
          <w:szCs w:val="32"/>
        </w:rPr>
        <w:t>决算数</w:t>
      </w:r>
      <w:r>
        <w:rPr>
          <w:rFonts w:hint="eastAsia" w:asciiTheme="minorEastAsia" w:hAnsiTheme="minorEastAsia" w:eastAsiaTheme="minorEastAsia"/>
          <w:color w:val="auto"/>
          <w:sz w:val="32"/>
          <w:szCs w:val="32"/>
          <w:lang w:val="en-US" w:eastAsia="zh-CN"/>
        </w:rPr>
        <w:t>小</w:t>
      </w:r>
      <w:r>
        <w:rPr>
          <w:rFonts w:hint="eastAsia" w:asciiTheme="minorEastAsia" w:hAnsiTheme="minorEastAsia" w:eastAsiaTheme="minorEastAsia"/>
          <w:color w:val="auto"/>
          <w:sz w:val="32"/>
          <w:szCs w:val="32"/>
        </w:rPr>
        <w:t>于年初预算数的主要原因是：</w:t>
      </w:r>
      <w:r>
        <w:rPr>
          <w:rFonts w:hint="eastAsia" w:ascii="Times New Roman" w:hAnsi="Times New Roman" w:cs="Times New Roman" w:eastAsiaTheme="minorEastAsia"/>
          <w:color w:val="auto"/>
          <w:sz w:val="32"/>
          <w:szCs w:val="32"/>
          <w:lang w:val="en-US" w:eastAsia="zh-CN"/>
        </w:rPr>
        <w:t>2021年有2名在编人员发生岗位异动，调离中心，</w:t>
      </w:r>
      <w:r>
        <w:rPr>
          <w:rFonts w:hint="default" w:ascii="Times New Roman" w:hAnsi="Times New Roman" w:cs="Times New Roman" w:eastAsiaTheme="minorEastAsia"/>
          <w:color w:val="auto"/>
          <w:sz w:val="32"/>
          <w:szCs w:val="32"/>
        </w:rPr>
        <w:t>经费开支减少。</w:t>
      </w:r>
    </w:p>
    <w:p>
      <w:pPr>
        <w:pStyle w:val="11"/>
        <w:ind w:firstLine="640" w:firstLineChars="200"/>
        <w:rPr>
          <w:rFonts w:hint="default" w:ascii="Times New Roman" w:hAnsi="Times New Roman" w:cs="Times New Roman"/>
          <w:b w:val="0"/>
          <w:bCs/>
          <w:color w:val="auto"/>
          <w:sz w:val="32"/>
          <w:szCs w:val="32"/>
        </w:rPr>
      </w:pPr>
      <w:r>
        <w:rPr>
          <w:rFonts w:hint="default" w:ascii="Times New Roman" w:hAnsi="Times New Roman" w:cs="Times New Roman"/>
          <w:b w:val="0"/>
          <w:bCs/>
          <w:color w:val="auto"/>
          <w:sz w:val="32"/>
          <w:szCs w:val="32"/>
        </w:rPr>
        <w:t>六、一般公共预算财政拨款基本支出决算情况说明</w:t>
      </w:r>
    </w:p>
    <w:p>
      <w:pPr>
        <w:pStyle w:val="11"/>
        <w:ind w:firstLine="640"/>
        <w:jc w:val="both"/>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2021年度财政拨款基本支出131.84万元，其中：人员经费125.63万元，占基本支出的95.29%,主要包括基本工资、津贴补贴、绩效工资、其他工资福利支出、机关事业单位基本养老保险缴费、职工基本医疗保险缴费、其他社会保障缴费、住房公积金；公用经费6.21万元，占基本支出的4.71%，主要包括办公费、印刷费、水费、电费、取暖费、物业管理费、工会经费、税金及附加费用、其他商品和服务支出。</w:t>
      </w:r>
    </w:p>
    <w:p>
      <w:pPr>
        <w:pStyle w:val="11"/>
        <w:ind w:firstLine="640" w:firstLineChars="200"/>
        <w:rPr>
          <w:rFonts w:hint="default" w:ascii="Times New Roman" w:hAnsi="Times New Roman" w:cs="Times New Roman"/>
          <w:b w:val="0"/>
          <w:bCs/>
          <w:color w:val="auto"/>
          <w:sz w:val="32"/>
          <w:szCs w:val="32"/>
        </w:rPr>
      </w:pPr>
      <w:r>
        <w:rPr>
          <w:rFonts w:hint="default" w:ascii="Times New Roman" w:hAnsi="Times New Roman" w:cs="Times New Roman"/>
          <w:b w:val="0"/>
          <w:bCs/>
          <w:color w:val="auto"/>
          <w:sz w:val="32"/>
          <w:szCs w:val="32"/>
        </w:rPr>
        <w:t>七、一般公共预算财政拨款“三公”经费支出决算情况说明</w:t>
      </w:r>
    </w:p>
    <w:p>
      <w:pPr>
        <w:pStyle w:val="11"/>
        <w:ind w:firstLine="640" w:firstLineChars="200"/>
        <w:rPr>
          <w:rFonts w:hint="default" w:ascii="Times New Roman" w:hAnsi="Times New Roman" w:cs="Times New Roman" w:eastAsiaTheme="minorEastAsia"/>
          <w:b/>
          <w:color w:val="auto"/>
          <w:sz w:val="32"/>
          <w:szCs w:val="32"/>
        </w:rPr>
      </w:pPr>
      <w:r>
        <w:rPr>
          <w:rFonts w:hint="default" w:ascii="Times New Roman" w:hAnsi="Times New Roman" w:cs="Times New Roman" w:eastAsiaTheme="minorEastAsia"/>
          <w:b/>
          <w:color w:val="auto"/>
          <w:sz w:val="32"/>
          <w:szCs w:val="32"/>
        </w:rPr>
        <w:t>（一）“三公”经费财政拨款支出决算总体情况说明</w:t>
      </w:r>
    </w:p>
    <w:p>
      <w:pPr>
        <w:pStyle w:val="11"/>
        <w:ind w:firstLine="640"/>
        <w:jc w:val="both"/>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2021年度“三公”经费财政拨款支出预算为2</w:t>
      </w:r>
      <w:r>
        <w:rPr>
          <w:rFonts w:hint="eastAsia" w:ascii="Times New Roman" w:hAnsi="Times New Roman" w:cs="Times New Roman" w:eastAsiaTheme="minorEastAsia"/>
          <w:color w:val="auto"/>
          <w:kern w:val="2"/>
          <w:sz w:val="32"/>
          <w:szCs w:val="32"/>
          <w:highlight w:val="none"/>
          <w:lang w:val="en-US" w:eastAsia="zh-CN" w:bidi="ar-SA"/>
        </w:rPr>
        <w:t>.00</w:t>
      </w:r>
      <w:r>
        <w:rPr>
          <w:rFonts w:hint="default" w:ascii="Times New Roman" w:hAnsi="Times New Roman" w:cs="Times New Roman" w:eastAsiaTheme="minorEastAsia"/>
          <w:color w:val="auto"/>
          <w:kern w:val="2"/>
          <w:sz w:val="32"/>
          <w:szCs w:val="32"/>
          <w:highlight w:val="none"/>
          <w:lang w:val="en-US" w:eastAsia="zh-CN" w:bidi="ar-SA"/>
        </w:rPr>
        <w:t>万元，支出决算为0.00万元，完成预算的0.00%，其中：</w:t>
      </w:r>
    </w:p>
    <w:p>
      <w:pPr>
        <w:pStyle w:val="11"/>
        <w:ind w:firstLine="640" w:firstLineChars="200"/>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sz w:val="32"/>
          <w:szCs w:val="32"/>
        </w:rPr>
        <w:t>因公出国（境）费支出预算为</w:t>
      </w:r>
      <w:r>
        <w:rPr>
          <w:rFonts w:hint="default" w:ascii="Times New Roman" w:hAnsi="Times New Roman" w:cs="Times New Roman" w:eastAsiaTheme="minorEastAsia"/>
          <w:color w:val="auto"/>
          <w:sz w:val="32"/>
          <w:szCs w:val="32"/>
          <w:lang w:val="en-US" w:eastAsia="zh-CN"/>
        </w:rPr>
        <w:t>0.00</w:t>
      </w:r>
      <w:r>
        <w:rPr>
          <w:rFonts w:hint="default" w:ascii="Times New Roman" w:hAnsi="Times New Roman" w:cs="Times New Roman" w:eastAsiaTheme="minorEastAsia"/>
          <w:color w:val="auto"/>
          <w:sz w:val="32"/>
          <w:szCs w:val="32"/>
        </w:rPr>
        <w:t>万元，支出决算为</w:t>
      </w:r>
      <w:r>
        <w:rPr>
          <w:rFonts w:hint="default" w:ascii="Times New Roman" w:hAnsi="Times New Roman" w:cs="Times New Roman" w:eastAsiaTheme="minorEastAsia"/>
          <w:color w:val="auto"/>
          <w:sz w:val="32"/>
          <w:szCs w:val="32"/>
          <w:lang w:val="en-US" w:eastAsia="zh-CN"/>
        </w:rPr>
        <w:t>0.00</w:t>
      </w:r>
      <w:r>
        <w:rPr>
          <w:rFonts w:hint="default" w:ascii="Times New Roman" w:hAnsi="Times New Roman" w:cs="Times New Roman" w:eastAsiaTheme="minorEastAsia"/>
          <w:color w:val="auto"/>
          <w:sz w:val="32"/>
          <w:szCs w:val="32"/>
        </w:rPr>
        <w:t>万元，决算数</w:t>
      </w:r>
      <w:r>
        <w:rPr>
          <w:rFonts w:hint="eastAsia" w:ascii="Times New Roman" w:hAnsi="Times New Roman" w:cs="Times New Roman" w:eastAsiaTheme="minorEastAsia"/>
          <w:color w:val="auto"/>
          <w:sz w:val="32"/>
          <w:szCs w:val="32"/>
          <w:lang w:val="en-US" w:eastAsia="zh-CN"/>
        </w:rPr>
        <w:t>与</w:t>
      </w:r>
      <w:r>
        <w:rPr>
          <w:rFonts w:hint="default" w:ascii="Times New Roman" w:hAnsi="Times New Roman" w:cs="Times New Roman" w:eastAsiaTheme="minorEastAsia"/>
          <w:color w:val="auto"/>
          <w:sz w:val="32"/>
          <w:szCs w:val="32"/>
        </w:rPr>
        <w:t>预算数</w:t>
      </w:r>
      <w:r>
        <w:rPr>
          <w:rFonts w:hint="eastAsia" w:ascii="Times New Roman" w:hAnsi="Times New Roman" w:cs="Times New Roman" w:eastAsiaTheme="minorEastAsia"/>
          <w:color w:val="auto"/>
          <w:sz w:val="32"/>
          <w:szCs w:val="32"/>
          <w:lang w:val="en-US" w:eastAsia="zh-CN"/>
        </w:rPr>
        <w:t>保持一致</w:t>
      </w:r>
      <w:r>
        <w:rPr>
          <w:rFonts w:hint="default" w:ascii="Times New Roman" w:hAnsi="Times New Roman" w:cs="Times New Roman" w:eastAsiaTheme="minorEastAsia"/>
          <w:color w:val="auto"/>
          <w:sz w:val="32"/>
          <w:szCs w:val="32"/>
        </w:rPr>
        <w:t>的主要原因是全年安排因公出国（境）团组0个，累计0人次，与上年相比减少</w:t>
      </w:r>
      <w:r>
        <w:rPr>
          <w:rFonts w:hint="default" w:ascii="Times New Roman" w:hAnsi="Times New Roman" w:cs="Times New Roman" w:eastAsiaTheme="minorEastAsia"/>
          <w:color w:val="auto"/>
          <w:sz w:val="32"/>
          <w:szCs w:val="32"/>
          <w:lang w:val="en-US" w:eastAsia="zh-CN"/>
        </w:rPr>
        <w:t>0</w:t>
      </w:r>
      <w:r>
        <w:rPr>
          <w:rFonts w:hint="eastAsia" w:ascii="Times New Roman" w:hAnsi="Times New Roman" w:cs="Times New Roman" w:eastAsiaTheme="minorEastAsia"/>
          <w:color w:val="auto"/>
          <w:sz w:val="32"/>
          <w:szCs w:val="32"/>
          <w:lang w:val="en-US" w:eastAsia="zh-CN"/>
        </w:rPr>
        <w:t>.00</w:t>
      </w:r>
      <w:r>
        <w:rPr>
          <w:rFonts w:hint="default" w:ascii="Times New Roman" w:hAnsi="Times New Roman" w:cs="Times New Roman" w:eastAsiaTheme="minorEastAsia"/>
          <w:color w:val="auto"/>
          <w:sz w:val="32"/>
          <w:szCs w:val="32"/>
        </w:rPr>
        <w:t>万元，减少</w:t>
      </w:r>
      <w:r>
        <w:rPr>
          <w:rFonts w:hint="default" w:ascii="Times New Roman" w:hAnsi="Times New Roman" w:cs="Times New Roman" w:eastAsiaTheme="minorEastAsia"/>
          <w:color w:val="auto"/>
          <w:sz w:val="32"/>
          <w:szCs w:val="32"/>
          <w:lang w:val="en-US" w:eastAsia="zh-CN"/>
        </w:rPr>
        <w:t>0</w:t>
      </w:r>
      <w:r>
        <w:rPr>
          <w:rFonts w:hint="eastAsia" w:ascii="Times New Roman" w:hAnsi="Times New Roman" w:cs="Times New Roman" w:eastAsiaTheme="minorEastAsia"/>
          <w:color w:val="auto"/>
          <w:sz w:val="32"/>
          <w:szCs w:val="32"/>
          <w:lang w:val="en-US" w:eastAsia="zh-CN"/>
        </w:rPr>
        <w:t>.00</w:t>
      </w:r>
      <w:r>
        <w:rPr>
          <w:rFonts w:hint="default" w:ascii="Times New Roman" w:hAnsi="Times New Roman" w:cs="Times New Roman" w:eastAsiaTheme="minorEastAsia"/>
          <w:color w:val="auto"/>
          <w:sz w:val="32"/>
          <w:szCs w:val="32"/>
        </w:rPr>
        <w:t>%。</w:t>
      </w:r>
    </w:p>
    <w:p>
      <w:pPr>
        <w:pStyle w:val="11"/>
        <w:ind w:firstLine="640" w:firstLineChars="200"/>
        <w:jc w:val="both"/>
        <w:rPr>
          <w:rFonts w:hint="default" w:ascii="Times New Roman" w:hAnsi="Times New Roman" w:cs="Times New Roman" w:eastAsiaTheme="minorEastAsia"/>
          <w:color w:val="auto"/>
          <w:sz w:val="32"/>
          <w:szCs w:val="32"/>
        </w:rPr>
      </w:pPr>
      <w:r>
        <w:rPr>
          <w:rFonts w:hint="default" w:ascii="Times New Roman" w:hAnsi="Times New Roman" w:cs="Times New Roman" w:eastAsiaTheme="minorEastAsia"/>
          <w:color w:val="auto"/>
          <w:sz w:val="32"/>
          <w:szCs w:val="32"/>
        </w:rPr>
        <w:t>公务接待费支出预算为</w:t>
      </w:r>
      <w:r>
        <w:rPr>
          <w:rFonts w:hint="default" w:ascii="Times New Roman" w:hAnsi="Times New Roman" w:cs="Times New Roman" w:eastAsiaTheme="minorEastAsia"/>
          <w:color w:val="auto"/>
          <w:sz w:val="32"/>
          <w:szCs w:val="32"/>
          <w:lang w:val="en-US" w:eastAsia="zh-CN"/>
        </w:rPr>
        <w:t>2.00</w:t>
      </w:r>
      <w:r>
        <w:rPr>
          <w:rFonts w:hint="default" w:ascii="Times New Roman" w:hAnsi="Times New Roman" w:cs="Times New Roman" w:eastAsiaTheme="minorEastAsia"/>
          <w:color w:val="auto"/>
          <w:sz w:val="32"/>
          <w:szCs w:val="32"/>
        </w:rPr>
        <w:t>万元，支出决算为</w:t>
      </w:r>
      <w:r>
        <w:rPr>
          <w:rFonts w:hint="default" w:ascii="Times New Roman" w:hAnsi="Times New Roman" w:cs="Times New Roman" w:eastAsiaTheme="minorEastAsia"/>
          <w:color w:val="auto"/>
          <w:sz w:val="32"/>
          <w:szCs w:val="32"/>
          <w:lang w:val="en-US" w:eastAsia="zh-CN"/>
        </w:rPr>
        <w:t>0.00</w:t>
      </w:r>
      <w:r>
        <w:rPr>
          <w:rFonts w:hint="default" w:ascii="Times New Roman" w:hAnsi="Times New Roman" w:cs="Times New Roman" w:eastAsiaTheme="minorEastAsia"/>
          <w:color w:val="auto"/>
          <w:sz w:val="32"/>
          <w:szCs w:val="32"/>
        </w:rPr>
        <w:t>万元，完成预算的</w:t>
      </w:r>
      <w:r>
        <w:rPr>
          <w:rFonts w:hint="default" w:ascii="Times New Roman" w:hAnsi="Times New Roman" w:cs="Times New Roman" w:eastAsiaTheme="minorEastAsia"/>
          <w:color w:val="auto"/>
          <w:sz w:val="32"/>
          <w:szCs w:val="32"/>
          <w:lang w:val="en-US" w:eastAsia="zh-CN"/>
        </w:rPr>
        <w:t>0.00</w:t>
      </w:r>
      <w:r>
        <w:rPr>
          <w:rFonts w:hint="default" w:ascii="Times New Roman" w:hAnsi="Times New Roman" w:cs="Times New Roman" w:eastAsiaTheme="minorEastAsia"/>
          <w:color w:val="auto"/>
          <w:sz w:val="32"/>
          <w:szCs w:val="32"/>
        </w:rPr>
        <w:t>%，决算数小于预算数的主要原因是</w:t>
      </w:r>
      <w:r>
        <w:rPr>
          <w:rFonts w:hint="default" w:ascii="Times New Roman" w:hAnsi="Times New Roman" w:cs="Times New Roman" w:eastAsiaTheme="minorEastAsia"/>
          <w:color w:val="auto"/>
          <w:sz w:val="32"/>
          <w:szCs w:val="32"/>
          <w:lang w:val="en-US" w:eastAsia="zh-CN"/>
        </w:rPr>
        <w:t>202</w:t>
      </w:r>
      <w:r>
        <w:rPr>
          <w:rFonts w:hint="eastAsia" w:ascii="Times New Roman" w:hAnsi="Times New Roman" w:cs="Times New Roman" w:eastAsiaTheme="minorEastAsia"/>
          <w:color w:val="auto"/>
          <w:sz w:val="32"/>
          <w:szCs w:val="32"/>
          <w:lang w:val="en-US" w:eastAsia="zh-CN"/>
        </w:rPr>
        <w:t>1</w:t>
      </w:r>
      <w:r>
        <w:rPr>
          <w:rFonts w:hint="default" w:ascii="Times New Roman" w:hAnsi="Times New Roman" w:cs="Times New Roman" w:eastAsiaTheme="minorEastAsia"/>
          <w:color w:val="auto"/>
          <w:sz w:val="32"/>
          <w:szCs w:val="32"/>
          <w:lang w:val="en-US" w:eastAsia="zh-CN"/>
        </w:rPr>
        <w:t>年受疫情影响，</w:t>
      </w:r>
      <w:r>
        <w:rPr>
          <w:rFonts w:hint="eastAsia" w:ascii="Times New Roman" w:hAnsi="Times New Roman" w:cs="Times New Roman" w:eastAsiaTheme="minorEastAsia"/>
          <w:color w:val="auto"/>
          <w:sz w:val="32"/>
          <w:szCs w:val="32"/>
          <w:lang w:val="en-US" w:eastAsia="zh-CN"/>
        </w:rPr>
        <w:t>无公务接待</w:t>
      </w:r>
      <w:r>
        <w:rPr>
          <w:rFonts w:hint="default" w:ascii="Times New Roman" w:hAnsi="Times New Roman" w:cs="Times New Roman" w:eastAsiaTheme="minorEastAsia"/>
          <w:color w:val="auto"/>
          <w:sz w:val="32"/>
          <w:szCs w:val="32"/>
          <w:lang w:val="en-US" w:eastAsia="zh-CN"/>
        </w:rPr>
        <w:t>。与上年持平，未发生变化</w:t>
      </w:r>
      <w:r>
        <w:rPr>
          <w:rFonts w:hint="default" w:ascii="Times New Roman" w:hAnsi="Times New Roman" w:cs="Times New Roman" w:eastAsiaTheme="minorEastAsia"/>
          <w:color w:val="auto"/>
          <w:sz w:val="32"/>
          <w:szCs w:val="32"/>
        </w:rPr>
        <w:t>。</w:t>
      </w:r>
    </w:p>
    <w:p>
      <w:pPr>
        <w:pStyle w:val="11"/>
        <w:ind w:firstLine="640" w:firstLineChars="200"/>
        <w:rPr>
          <w:rFonts w:hint="default" w:ascii="Times New Roman" w:hAnsi="Times New Roman" w:cs="Times New Roman" w:eastAsiaTheme="minorEastAsia"/>
          <w:color w:val="auto"/>
          <w:sz w:val="32"/>
          <w:szCs w:val="32"/>
        </w:rPr>
      </w:pPr>
      <w:r>
        <w:rPr>
          <w:rFonts w:hint="default" w:ascii="Times New Roman" w:hAnsi="Times New Roman" w:cs="Times New Roman" w:eastAsiaTheme="minorEastAsia"/>
          <w:color w:val="auto"/>
          <w:sz w:val="32"/>
          <w:szCs w:val="32"/>
        </w:rPr>
        <w:t>公务用车购置费支出预算为</w:t>
      </w:r>
      <w:r>
        <w:rPr>
          <w:rFonts w:hint="default" w:ascii="Times New Roman" w:hAnsi="Times New Roman" w:cs="Times New Roman" w:eastAsiaTheme="minorEastAsia"/>
          <w:color w:val="auto"/>
          <w:sz w:val="32"/>
          <w:szCs w:val="32"/>
          <w:lang w:val="en-US" w:eastAsia="zh-CN"/>
        </w:rPr>
        <w:t>0</w:t>
      </w:r>
      <w:r>
        <w:rPr>
          <w:rFonts w:hint="eastAsia" w:ascii="Times New Roman" w:hAnsi="Times New Roman" w:cs="Times New Roman" w:eastAsiaTheme="minorEastAsia"/>
          <w:color w:val="auto"/>
          <w:sz w:val="32"/>
          <w:szCs w:val="32"/>
          <w:lang w:val="en-US" w:eastAsia="zh-CN"/>
        </w:rPr>
        <w:t>.00</w:t>
      </w:r>
      <w:r>
        <w:rPr>
          <w:rFonts w:hint="default" w:ascii="Times New Roman" w:hAnsi="Times New Roman" w:cs="Times New Roman" w:eastAsiaTheme="minorEastAsia"/>
          <w:color w:val="auto"/>
          <w:sz w:val="32"/>
          <w:szCs w:val="32"/>
        </w:rPr>
        <w:t>万元，支出决算为</w:t>
      </w:r>
      <w:r>
        <w:rPr>
          <w:rFonts w:hint="default" w:ascii="Times New Roman" w:hAnsi="Times New Roman" w:cs="Times New Roman" w:eastAsiaTheme="minorEastAsia"/>
          <w:color w:val="auto"/>
          <w:sz w:val="32"/>
          <w:szCs w:val="32"/>
          <w:lang w:val="en-US" w:eastAsia="zh-CN"/>
        </w:rPr>
        <w:t>0</w:t>
      </w:r>
      <w:r>
        <w:rPr>
          <w:rFonts w:hint="eastAsia" w:ascii="Times New Roman" w:hAnsi="Times New Roman" w:cs="Times New Roman" w:eastAsiaTheme="minorEastAsia"/>
          <w:color w:val="auto"/>
          <w:sz w:val="32"/>
          <w:szCs w:val="32"/>
          <w:lang w:val="en-US" w:eastAsia="zh-CN"/>
        </w:rPr>
        <w:t>.00</w:t>
      </w:r>
      <w:r>
        <w:rPr>
          <w:rFonts w:hint="default" w:ascii="Times New Roman" w:hAnsi="Times New Roman" w:cs="Times New Roman" w:eastAsiaTheme="minorEastAsia"/>
          <w:color w:val="auto"/>
          <w:sz w:val="32"/>
          <w:szCs w:val="32"/>
        </w:rPr>
        <w:t>万元，与上年持平，未发生变化，主要原因是中心无公务用车。</w:t>
      </w:r>
    </w:p>
    <w:p>
      <w:pPr>
        <w:pStyle w:val="11"/>
        <w:ind w:firstLine="640" w:firstLineChars="200"/>
        <w:rPr>
          <w:rFonts w:hint="default" w:ascii="Times New Roman" w:hAnsi="Times New Roman" w:cs="Times New Roman" w:eastAsiaTheme="minorEastAsia"/>
          <w:color w:val="auto"/>
          <w:sz w:val="32"/>
          <w:szCs w:val="32"/>
        </w:rPr>
      </w:pPr>
      <w:r>
        <w:rPr>
          <w:rFonts w:hint="default" w:ascii="Times New Roman" w:hAnsi="Times New Roman" w:cs="Times New Roman" w:eastAsiaTheme="minorEastAsia"/>
          <w:color w:val="auto"/>
          <w:sz w:val="32"/>
          <w:szCs w:val="32"/>
        </w:rPr>
        <w:t>公务用车运行维护费支出预算为</w:t>
      </w:r>
      <w:r>
        <w:rPr>
          <w:rFonts w:hint="default" w:ascii="Times New Roman" w:hAnsi="Times New Roman" w:cs="Times New Roman" w:eastAsiaTheme="minorEastAsia"/>
          <w:color w:val="auto"/>
          <w:sz w:val="32"/>
          <w:szCs w:val="32"/>
          <w:lang w:val="en-US" w:eastAsia="zh-CN"/>
        </w:rPr>
        <w:t>0.00</w:t>
      </w:r>
      <w:r>
        <w:rPr>
          <w:rFonts w:hint="default" w:ascii="Times New Roman" w:hAnsi="Times New Roman" w:cs="Times New Roman" w:eastAsiaTheme="minorEastAsia"/>
          <w:color w:val="auto"/>
          <w:sz w:val="32"/>
          <w:szCs w:val="32"/>
        </w:rPr>
        <w:t>万元，支出决算为</w:t>
      </w:r>
      <w:r>
        <w:rPr>
          <w:rFonts w:hint="default" w:ascii="Times New Roman" w:hAnsi="Times New Roman" w:cs="Times New Roman" w:eastAsiaTheme="minorEastAsia"/>
          <w:color w:val="auto"/>
          <w:sz w:val="32"/>
          <w:szCs w:val="32"/>
          <w:lang w:val="en-US" w:eastAsia="zh-CN"/>
        </w:rPr>
        <w:t>0.00</w:t>
      </w:r>
      <w:r>
        <w:rPr>
          <w:rFonts w:hint="default" w:ascii="Times New Roman" w:hAnsi="Times New Roman" w:cs="Times New Roman" w:eastAsiaTheme="minorEastAsia"/>
          <w:color w:val="auto"/>
          <w:sz w:val="32"/>
          <w:szCs w:val="32"/>
        </w:rPr>
        <w:t>万元，与上年持平，未发生变化，主要原因是中心无公务用车。</w:t>
      </w:r>
    </w:p>
    <w:p>
      <w:pPr>
        <w:pStyle w:val="11"/>
        <w:ind w:firstLine="640" w:firstLineChars="200"/>
        <w:rPr>
          <w:rFonts w:hint="default" w:ascii="Times New Roman" w:hAnsi="Times New Roman" w:cs="Times New Roman" w:eastAsiaTheme="minorEastAsia"/>
          <w:b/>
          <w:color w:val="auto"/>
          <w:sz w:val="32"/>
          <w:szCs w:val="32"/>
        </w:rPr>
      </w:pPr>
      <w:r>
        <w:rPr>
          <w:rFonts w:hint="default" w:ascii="Times New Roman" w:hAnsi="Times New Roman" w:cs="Times New Roman" w:eastAsiaTheme="minorEastAsia"/>
          <w:b/>
          <w:color w:val="auto"/>
          <w:sz w:val="32"/>
          <w:szCs w:val="32"/>
        </w:rPr>
        <w:t>（二）“三公”经费财政拨款支出决算具体情况说明</w:t>
      </w:r>
    </w:p>
    <w:p>
      <w:pPr>
        <w:pStyle w:val="11"/>
        <w:ind w:firstLine="640" w:firstLineChars="200"/>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202</w:t>
      </w:r>
      <w:r>
        <w:rPr>
          <w:rFonts w:hint="eastAsia" w:ascii="Times New Roman" w:hAnsi="Times New Roman" w:cs="Times New Roman" w:eastAsiaTheme="minorEastAsia"/>
          <w:color w:val="auto"/>
          <w:kern w:val="2"/>
          <w:sz w:val="32"/>
          <w:szCs w:val="32"/>
          <w:highlight w:val="none"/>
          <w:lang w:val="en-US" w:eastAsia="zh-CN" w:bidi="ar-SA"/>
        </w:rPr>
        <w:t>1</w:t>
      </w:r>
      <w:r>
        <w:rPr>
          <w:rFonts w:hint="default" w:ascii="Times New Roman" w:hAnsi="Times New Roman" w:cs="Times New Roman" w:eastAsiaTheme="minorEastAsia"/>
          <w:color w:val="auto"/>
          <w:kern w:val="2"/>
          <w:sz w:val="32"/>
          <w:szCs w:val="32"/>
          <w:highlight w:val="none"/>
          <w:lang w:val="en-US" w:eastAsia="zh-CN" w:bidi="ar-SA"/>
        </w:rPr>
        <w:t>年度“三公”经费财政拨款支出决算中，公务接待费支出决算0.00万元，占0.00%，因公出国（境）费支出决算0.00万元，占0.00%，公务用车购置费及运行维护费支出决算0.00万元，占0.00%。其中：</w:t>
      </w:r>
    </w:p>
    <w:p>
      <w:pPr>
        <w:pStyle w:val="11"/>
        <w:ind w:firstLine="640" w:firstLineChars="200"/>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1、因公出国（境）费支出决算为0.00万元，全年安排因公出国（境）团组0个，累计0人次。</w:t>
      </w:r>
    </w:p>
    <w:p>
      <w:pPr>
        <w:pStyle w:val="11"/>
        <w:ind w:firstLine="640" w:firstLineChars="200"/>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2、公务接待费支出决算为0.00万元，全年共接待来访团组0个、来宾0人次。</w:t>
      </w:r>
    </w:p>
    <w:p>
      <w:pPr>
        <w:pStyle w:val="11"/>
        <w:ind w:firstLine="640" w:firstLineChars="200"/>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3、公务用车购置费及运行维护费支出决算为0.00万元，其中：公务用车购置费0.00万元</w:t>
      </w:r>
      <w:r>
        <w:rPr>
          <w:rFonts w:hint="eastAsia" w:ascii="Times New Roman" w:hAnsi="Times New Roman" w:cs="Times New Roman" w:eastAsiaTheme="minorEastAsia"/>
          <w:color w:val="auto"/>
          <w:kern w:val="2"/>
          <w:sz w:val="32"/>
          <w:szCs w:val="32"/>
          <w:highlight w:val="none"/>
          <w:lang w:val="en-US" w:eastAsia="zh-CN" w:bidi="ar-SA"/>
        </w:rPr>
        <w:t>，本中心更新公务用车0辆。</w:t>
      </w:r>
      <w:r>
        <w:rPr>
          <w:rFonts w:hint="default" w:ascii="Times New Roman" w:hAnsi="Times New Roman" w:cs="Times New Roman" w:eastAsiaTheme="minorEastAsia"/>
          <w:color w:val="auto"/>
          <w:kern w:val="2"/>
          <w:sz w:val="32"/>
          <w:szCs w:val="32"/>
          <w:highlight w:val="none"/>
          <w:lang w:val="en-US" w:eastAsia="zh-CN" w:bidi="ar-SA"/>
        </w:rPr>
        <w:t>公务用车运行维护费0.00万元，截止202</w:t>
      </w:r>
      <w:r>
        <w:rPr>
          <w:rFonts w:hint="eastAsia" w:ascii="Times New Roman" w:hAnsi="Times New Roman" w:cs="Times New Roman" w:eastAsiaTheme="minorEastAsia"/>
          <w:color w:val="auto"/>
          <w:kern w:val="2"/>
          <w:sz w:val="32"/>
          <w:szCs w:val="32"/>
          <w:highlight w:val="none"/>
          <w:lang w:val="en-US" w:eastAsia="zh-CN" w:bidi="ar-SA"/>
        </w:rPr>
        <w:t>1</w:t>
      </w:r>
      <w:r>
        <w:rPr>
          <w:rFonts w:hint="default" w:ascii="Times New Roman" w:hAnsi="Times New Roman" w:cs="Times New Roman" w:eastAsiaTheme="minorEastAsia"/>
          <w:color w:val="auto"/>
          <w:kern w:val="2"/>
          <w:sz w:val="32"/>
          <w:szCs w:val="32"/>
          <w:highlight w:val="none"/>
          <w:lang w:val="en-US" w:eastAsia="zh-CN" w:bidi="ar-SA"/>
        </w:rPr>
        <w:t>年12月31日，我中心开支财政拨款的公务用车保有量为0辆。</w:t>
      </w:r>
    </w:p>
    <w:p>
      <w:pPr>
        <w:pStyle w:val="11"/>
        <w:ind w:firstLine="640" w:firstLineChars="200"/>
        <w:rPr>
          <w:rFonts w:hint="default" w:ascii="Times New Roman" w:hAnsi="Times New Roman" w:cs="Times New Roman"/>
          <w:b w:val="0"/>
          <w:bCs/>
          <w:color w:val="auto"/>
          <w:sz w:val="32"/>
          <w:szCs w:val="32"/>
        </w:rPr>
      </w:pPr>
      <w:r>
        <w:rPr>
          <w:rFonts w:hint="default" w:ascii="Times New Roman" w:hAnsi="Times New Roman" w:cs="Times New Roman"/>
          <w:b w:val="0"/>
          <w:bCs/>
          <w:color w:val="auto"/>
          <w:sz w:val="32"/>
          <w:szCs w:val="32"/>
        </w:rPr>
        <w:t>八、政府性基金预算收入支出决算情况</w:t>
      </w:r>
    </w:p>
    <w:p>
      <w:pPr>
        <w:pStyle w:val="11"/>
        <w:ind w:firstLine="640"/>
        <w:jc w:val="both"/>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 xml:space="preserve">本中心无政府性基金预算收入。     </w:t>
      </w:r>
    </w:p>
    <w:p>
      <w:pPr>
        <w:pStyle w:val="11"/>
        <w:ind w:firstLine="640" w:firstLineChars="200"/>
        <w:rPr>
          <w:rFonts w:hint="default" w:ascii="Times New Roman" w:hAnsi="Times New Roman" w:cs="Times New Roman"/>
          <w:b w:val="0"/>
          <w:bCs/>
          <w:color w:val="auto"/>
          <w:sz w:val="32"/>
          <w:szCs w:val="32"/>
        </w:rPr>
      </w:pPr>
      <w:r>
        <w:rPr>
          <w:rFonts w:hint="default" w:ascii="Times New Roman" w:hAnsi="Times New Roman" w:cs="Times New Roman"/>
          <w:b w:val="0"/>
          <w:bCs/>
          <w:color w:val="auto"/>
          <w:sz w:val="32"/>
          <w:szCs w:val="32"/>
        </w:rPr>
        <w:t>九、机关运行经费支出说明</w:t>
      </w:r>
    </w:p>
    <w:p>
      <w:pPr>
        <w:pStyle w:val="11"/>
        <w:ind w:firstLine="640" w:firstLineChars="200"/>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本中心无机关运行经费支出</w:t>
      </w:r>
      <w:r>
        <w:rPr>
          <w:rFonts w:hint="eastAsia" w:ascii="Times New Roman" w:hAnsi="Times New Roman" w:cs="Times New Roman" w:eastAsiaTheme="minorEastAsia"/>
          <w:color w:val="auto"/>
          <w:kern w:val="2"/>
          <w:sz w:val="32"/>
          <w:szCs w:val="32"/>
          <w:highlight w:val="none"/>
          <w:lang w:val="en-US" w:eastAsia="zh-CN" w:bidi="ar-SA"/>
        </w:rPr>
        <w:t>。</w:t>
      </w:r>
    </w:p>
    <w:p>
      <w:pPr>
        <w:pStyle w:val="11"/>
        <w:ind w:firstLine="640" w:firstLineChars="200"/>
        <w:rPr>
          <w:rFonts w:hint="default" w:ascii="Times New Roman" w:hAnsi="Times New Roman" w:cs="Times New Roman"/>
          <w:b w:val="0"/>
          <w:bCs/>
          <w:color w:val="auto"/>
          <w:sz w:val="32"/>
          <w:szCs w:val="32"/>
        </w:rPr>
      </w:pPr>
      <w:r>
        <w:rPr>
          <w:rFonts w:hint="default" w:ascii="Times New Roman" w:hAnsi="Times New Roman" w:cs="Times New Roman"/>
          <w:b w:val="0"/>
          <w:bCs/>
          <w:color w:val="auto"/>
          <w:sz w:val="32"/>
          <w:szCs w:val="32"/>
        </w:rPr>
        <w:t>十、一般性支出情况说明</w:t>
      </w:r>
    </w:p>
    <w:p>
      <w:pPr>
        <w:pStyle w:val="11"/>
        <w:ind w:firstLine="640"/>
        <w:jc w:val="both"/>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2021年本中心开支会议费6.35万元，</w:t>
      </w:r>
      <w:r>
        <w:rPr>
          <w:rFonts w:hint="default" w:ascii="Times New Roman" w:hAnsi="Times New Roman" w:cs="Times New Roman" w:eastAsiaTheme="majorEastAsia"/>
          <w:color w:val="auto"/>
          <w:sz w:val="32"/>
          <w:szCs w:val="32"/>
        </w:rPr>
        <w:t>用于召开</w:t>
      </w:r>
      <w:r>
        <w:rPr>
          <w:rFonts w:hint="default" w:ascii="Times New Roman" w:hAnsi="Times New Roman" w:cs="Times New Roman" w:eastAsiaTheme="majorEastAsia"/>
          <w:color w:val="auto"/>
          <w:sz w:val="32"/>
          <w:szCs w:val="32"/>
          <w:highlight w:val="none"/>
          <w:lang w:val="en-US" w:eastAsia="zh-CN"/>
        </w:rPr>
        <w:t>三类会议</w:t>
      </w:r>
      <w:r>
        <w:rPr>
          <w:rFonts w:hint="eastAsia" w:ascii="Times New Roman" w:hAnsi="Times New Roman" w:cs="Times New Roman" w:eastAsiaTheme="majorEastAsia"/>
          <w:color w:val="auto"/>
          <w:sz w:val="32"/>
          <w:szCs w:val="32"/>
          <w:highlight w:val="none"/>
          <w:lang w:val="en-US" w:eastAsia="zh-CN"/>
        </w:rPr>
        <w:t>，</w:t>
      </w:r>
      <w:r>
        <w:rPr>
          <w:rFonts w:hint="default" w:ascii="Times New Roman" w:hAnsi="Times New Roman" w:cs="Times New Roman" w:eastAsiaTheme="minorEastAsia"/>
          <w:color w:val="auto"/>
          <w:kern w:val="2"/>
          <w:sz w:val="32"/>
          <w:szCs w:val="32"/>
          <w:highlight w:val="none"/>
          <w:lang w:val="en-US" w:eastAsia="zh-CN" w:bidi="ar-SA"/>
        </w:rPr>
        <w:t>人数169人，内容为开展2021年度省自然科学研究系列职称评审工作，为期三天。开支培训费</w:t>
      </w:r>
      <w:r>
        <w:rPr>
          <w:rFonts w:hint="eastAsia" w:ascii="Times New Roman" w:hAnsi="Times New Roman" w:cs="Times New Roman" w:eastAsiaTheme="minorEastAsia"/>
          <w:color w:val="auto"/>
          <w:kern w:val="2"/>
          <w:sz w:val="32"/>
          <w:szCs w:val="32"/>
          <w:highlight w:val="none"/>
          <w:lang w:val="en-US" w:eastAsia="zh-CN" w:bidi="ar-SA"/>
        </w:rPr>
        <w:t>0.00</w:t>
      </w:r>
      <w:r>
        <w:rPr>
          <w:rFonts w:hint="default" w:ascii="Times New Roman" w:hAnsi="Times New Roman" w:cs="Times New Roman" w:eastAsiaTheme="minorEastAsia"/>
          <w:color w:val="auto"/>
          <w:kern w:val="2"/>
          <w:sz w:val="32"/>
          <w:szCs w:val="32"/>
          <w:highlight w:val="none"/>
          <w:lang w:val="en-US" w:eastAsia="zh-CN" w:bidi="ar-SA"/>
        </w:rPr>
        <w:t>万元</w:t>
      </w:r>
      <w:r>
        <w:rPr>
          <w:rFonts w:hint="eastAsia" w:ascii="Times New Roman" w:hAnsi="Times New Roman" w:cs="Times New Roman" w:eastAsiaTheme="minorEastAsia"/>
          <w:color w:val="auto"/>
          <w:kern w:val="2"/>
          <w:sz w:val="32"/>
          <w:szCs w:val="32"/>
          <w:highlight w:val="none"/>
          <w:lang w:val="en-US" w:eastAsia="zh-CN" w:bidi="ar-SA"/>
        </w:rPr>
        <w:t>。</w:t>
      </w:r>
    </w:p>
    <w:p>
      <w:pPr>
        <w:pStyle w:val="11"/>
        <w:ind w:firstLine="640"/>
        <w:jc w:val="both"/>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202</w:t>
      </w:r>
      <w:r>
        <w:rPr>
          <w:rFonts w:hint="eastAsia" w:ascii="Times New Roman" w:hAnsi="Times New Roman" w:cs="Times New Roman" w:eastAsiaTheme="minorEastAsia"/>
          <w:color w:val="auto"/>
          <w:kern w:val="2"/>
          <w:sz w:val="32"/>
          <w:szCs w:val="32"/>
          <w:highlight w:val="none"/>
          <w:lang w:val="en-US" w:eastAsia="zh-CN" w:bidi="ar-SA"/>
        </w:rPr>
        <w:t>1</w:t>
      </w:r>
      <w:r>
        <w:rPr>
          <w:rFonts w:hint="default" w:ascii="Times New Roman" w:hAnsi="Times New Roman" w:cs="Times New Roman" w:eastAsiaTheme="minorEastAsia"/>
          <w:color w:val="auto"/>
          <w:kern w:val="2"/>
          <w:sz w:val="32"/>
          <w:szCs w:val="32"/>
          <w:highlight w:val="none"/>
          <w:lang w:val="en-US" w:eastAsia="zh-CN" w:bidi="ar-SA"/>
        </w:rPr>
        <w:t>年本中心无举办节庆、晚会、论坛、赛事等活动。</w:t>
      </w:r>
    </w:p>
    <w:p>
      <w:pPr>
        <w:pStyle w:val="11"/>
        <w:ind w:firstLine="640" w:firstLineChars="200"/>
        <w:rPr>
          <w:rFonts w:hint="default" w:ascii="Times New Roman" w:hAnsi="Times New Roman" w:cs="Times New Roman"/>
          <w:b w:val="0"/>
          <w:bCs/>
          <w:color w:val="auto"/>
          <w:sz w:val="32"/>
          <w:szCs w:val="32"/>
        </w:rPr>
      </w:pPr>
      <w:r>
        <w:rPr>
          <w:rFonts w:hint="default" w:ascii="Times New Roman" w:hAnsi="Times New Roman" w:cs="Times New Roman"/>
          <w:b w:val="0"/>
          <w:bCs/>
          <w:color w:val="auto"/>
          <w:sz w:val="32"/>
          <w:szCs w:val="32"/>
        </w:rPr>
        <w:t>十一、政府采购支出说明</w:t>
      </w:r>
    </w:p>
    <w:p>
      <w:pPr>
        <w:keepNext w:val="0"/>
        <w:keepLines w:val="0"/>
        <w:widowControl/>
        <w:suppressLineNumbers w:val="0"/>
        <w:ind w:firstLine="640" w:firstLineChars="200"/>
        <w:jc w:val="both"/>
        <w:rPr>
          <w:rFonts w:hint="default" w:ascii="Times New Roman" w:hAnsi="Times New Roman" w:cs="Times New Roman" w:eastAsiaTheme="minorEastAsia"/>
          <w:color w:val="auto"/>
          <w:sz w:val="32"/>
          <w:szCs w:val="32"/>
        </w:rPr>
      </w:pPr>
      <w:r>
        <w:rPr>
          <w:rFonts w:hint="default" w:ascii="Times New Roman" w:hAnsi="Times New Roman" w:cs="Times New Roman" w:eastAsiaTheme="minorEastAsia"/>
          <w:color w:val="auto"/>
          <w:sz w:val="32"/>
          <w:szCs w:val="32"/>
        </w:rPr>
        <w:t>本</w:t>
      </w:r>
      <w:r>
        <w:rPr>
          <w:rFonts w:hint="default" w:ascii="Times New Roman" w:hAnsi="Times New Roman" w:cs="Times New Roman" w:eastAsiaTheme="minorEastAsia"/>
          <w:color w:val="auto"/>
          <w:sz w:val="32"/>
          <w:szCs w:val="32"/>
          <w:lang w:val="en-US" w:eastAsia="zh-CN"/>
        </w:rPr>
        <w:t>中心</w:t>
      </w:r>
      <w:r>
        <w:rPr>
          <w:rFonts w:hint="default" w:ascii="Times New Roman" w:hAnsi="Times New Roman" w:cs="Times New Roman" w:eastAsiaTheme="minorEastAsia"/>
          <w:color w:val="auto"/>
          <w:sz w:val="32"/>
          <w:szCs w:val="32"/>
        </w:rPr>
        <w:t>202</w:t>
      </w:r>
      <w:r>
        <w:rPr>
          <w:rFonts w:hint="eastAsia" w:ascii="Times New Roman" w:hAnsi="Times New Roman" w:cs="Times New Roman"/>
          <w:color w:val="auto"/>
          <w:sz w:val="32"/>
          <w:szCs w:val="32"/>
          <w:lang w:val="en-US" w:eastAsia="zh-CN"/>
        </w:rPr>
        <w:t>1</w:t>
      </w:r>
      <w:r>
        <w:rPr>
          <w:rFonts w:hint="default" w:ascii="Times New Roman" w:hAnsi="Times New Roman" w:cs="Times New Roman" w:eastAsiaTheme="minorEastAsia"/>
          <w:color w:val="auto"/>
          <w:sz w:val="32"/>
          <w:szCs w:val="32"/>
        </w:rPr>
        <w:t>年度政府采购支出总额</w:t>
      </w:r>
      <w:r>
        <w:rPr>
          <w:rFonts w:hint="eastAsia" w:ascii="Times New Roman" w:hAnsi="Times New Roman" w:cs="Times New Roman"/>
          <w:color w:val="auto"/>
          <w:sz w:val="32"/>
          <w:szCs w:val="32"/>
          <w:lang w:val="en-US" w:eastAsia="zh-CN"/>
        </w:rPr>
        <w:t>3.98</w:t>
      </w:r>
      <w:r>
        <w:rPr>
          <w:rFonts w:hint="default" w:ascii="Times New Roman" w:hAnsi="Times New Roman" w:cs="Times New Roman" w:eastAsiaTheme="minorEastAsia"/>
          <w:color w:val="auto"/>
          <w:sz w:val="32"/>
          <w:szCs w:val="32"/>
        </w:rPr>
        <w:t>万元。</w:t>
      </w:r>
      <w:r>
        <w:rPr>
          <w:rFonts w:hint="default" w:ascii="Times New Roman" w:hAnsi="Times New Roman" w:cs="Times New Roman" w:eastAsiaTheme="minorEastAsia"/>
          <w:color w:val="auto"/>
          <w:sz w:val="32"/>
          <w:szCs w:val="32"/>
          <w:lang w:val="en-US" w:eastAsia="zh-CN"/>
        </w:rPr>
        <w:t>其中：政府采购货物支出</w:t>
      </w:r>
      <w:r>
        <w:rPr>
          <w:rFonts w:hint="eastAsia" w:ascii="Times New Roman" w:hAnsi="Times New Roman" w:cs="Times New Roman"/>
          <w:color w:val="auto"/>
          <w:sz w:val="32"/>
          <w:szCs w:val="32"/>
          <w:lang w:val="en-US" w:eastAsia="zh-CN"/>
        </w:rPr>
        <w:t>3.98</w:t>
      </w:r>
      <w:r>
        <w:rPr>
          <w:rFonts w:hint="default" w:ascii="Times New Roman" w:hAnsi="Times New Roman" w:cs="Times New Roman" w:eastAsiaTheme="minorEastAsia"/>
          <w:color w:val="auto"/>
          <w:sz w:val="32"/>
          <w:szCs w:val="32"/>
          <w:lang w:val="en-US" w:eastAsia="zh-CN"/>
        </w:rPr>
        <w:t>万元、政府采购工程支出</w:t>
      </w:r>
      <w:r>
        <w:rPr>
          <w:rFonts w:hint="default" w:ascii="Times New Roman" w:hAnsi="Times New Roman" w:cs="Times New Roman" w:eastAsiaTheme="minorEastAsia"/>
          <w:color w:val="auto"/>
          <w:sz w:val="32"/>
          <w:szCs w:val="32"/>
        </w:rPr>
        <w:t>0</w:t>
      </w:r>
      <w:r>
        <w:rPr>
          <w:rFonts w:hint="default" w:ascii="Times New Roman" w:hAnsi="Times New Roman" w:cs="Times New Roman" w:eastAsiaTheme="minorEastAsia"/>
          <w:color w:val="auto"/>
          <w:sz w:val="32"/>
          <w:szCs w:val="32"/>
          <w:lang w:val="en-US" w:eastAsia="zh-CN"/>
        </w:rPr>
        <w:t>.00万元、政府采购服务支出</w:t>
      </w:r>
      <w:r>
        <w:rPr>
          <w:rFonts w:hint="default" w:ascii="Times New Roman" w:hAnsi="Times New Roman" w:cs="Times New Roman" w:eastAsiaTheme="minorEastAsia"/>
          <w:color w:val="auto"/>
          <w:sz w:val="32"/>
          <w:szCs w:val="32"/>
        </w:rPr>
        <w:t>0</w:t>
      </w:r>
      <w:r>
        <w:rPr>
          <w:rFonts w:hint="default" w:ascii="Times New Roman" w:hAnsi="Times New Roman" w:cs="Times New Roman" w:eastAsiaTheme="minorEastAsia"/>
          <w:color w:val="auto"/>
          <w:sz w:val="32"/>
          <w:szCs w:val="32"/>
          <w:lang w:val="en-US" w:eastAsia="zh-CN"/>
        </w:rPr>
        <w:t>.00万元。授予中小企业合同金额</w:t>
      </w:r>
      <w:r>
        <w:rPr>
          <w:rFonts w:hint="eastAsia" w:ascii="Times New Roman" w:hAnsi="Times New Roman" w:cs="Times New Roman"/>
          <w:color w:val="auto"/>
          <w:sz w:val="32"/>
          <w:szCs w:val="32"/>
          <w:lang w:val="en-US" w:eastAsia="zh-CN"/>
        </w:rPr>
        <w:t>3.98</w:t>
      </w:r>
      <w:r>
        <w:rPr>
          <w:rFonts w:hint="default" w:ascii="Times New Roman" w:hAnsi="Times New Roman" w:cs="Times New Roman" w:eastAsiaTheme="minorEastAsia"/>
          <w:color w:val="auto"/>
          <w:sz w:val="32"/>
          <w:szCs w:val="32"/>
          <w:lang w:val="en-US" w:eastAsia="zh-CN"/>
        </w:rPr>
        <w:t>万元，占政府采购支出总额的</w:t>
      </w:r>
      <w:r>
        <w:rPr>
          <w:rFonts w:hint="eastAsia" w:ascii="Times New Roman" w:hAnsi="Times New Roman" w:cs="Times New Roman"/>
          <w:color w:val="auto"/>
          <w:sz w:val="32"/>
          <w:szCs w:val="32"/>
          <w:lang w:val="en-US" w:eastAsia="zh-CN"/>
        </w:rPr>
        <w:t>100</w:t>
      </w:r>
      <w:r>
        <w:rPr>
          <w:rFonts w:hint="default" w:ascii="Times New Roman" w:hAnsi="Times New Roman" w:cs="Times New Roman" w:eastAsiaTheme="minorEastAsia"/>
          <w:color w:val="auto"/>
          <w:sz w:val="32"/>
          <w:szCs w:val="32"/>
          <w:lang w:val="en-US" w:eastAsia="zh-CN"/>
        </w:rPr>
        <w:t>%，其中：授予小微企业合同金额</w:t>
      </w:r>
      <w:r>
        <w:rPr>
          <w:rFonts w:hint="eastAsia" w:ascii="Times New Roman" w:hAnsi="Times New Roman" w:cs="Times New Roman"/>
          <w:color w:val="auto"/>
          <w:sz w:val="32"/>
          <w:szCs w:val="32"/>
          <w:lang w:val="en-US" w:eastAsia="zh-CN"/>
        </w:rPr>
        <w:t>3.98</w:t>
      </w:r>
      <w:r>
        <w:rPr>
          <w:rFonts w:hint="default" w:ascii="Times New Roman" w:hAnsi="Times New Roman" w:cs="Times New Roman" w:eastAsiaTheme="minorEastAsia"/>
          <w:color w:val="auto"/>
          <w:sz w:val="32"/>
          <w:szCs w:val="32"/>
          <w:lang w:val="en-US" w:eastAsia="zh-CN"/>
        </w:rPr>
        <w:t>万元，占政府采购支出总额的</w:t>
      </w:r>
      <w:r>
        <w:rPr>
          <w:rFonts w:hint="eastAsia" w:ascii="Times New Roman" w:hAnsi="Times New Roman" w:cs="Times New Roman"/>
          <w:color w:val="auto"/>
          <w:sz w:val="32"/>
          <w:szCs w:val="32"/>
          <w:lang w:val="en-US" w:eastAsia="zh-CN"/>
        </w:rPr>
        <w:t>100</w:t>
      </w:r>
      <w:r>
        <w:rPr>
          <w:rFonts w:hint="default" w:ascii="Times New Roman" w:hAnsi="Times New Roman" w:cs="Times New Roman" w:eastAsiaTheme="minorEastAsia"/>
          <w:color w:val="auto"/>
          <w:sz w:val="32"/>
          <w:szCs w:val="32"/>
          <w:lang w:val="en-US" w:eastAsia="zh-CN"/>
        </w:rPr>
        <w:t>%。货物采购授予中小企业合同金额占货物支出金额的</w:t>
      </w:r>
      <w:r>
        <w:rPr>
          <w:rFonts w:hint="eastAsia" w:ascii="Times New Roman" w:hAnsi="Times New Roman" w:cs="Times New Roman"/>
          <w:color w:val="auto"/>
          <w:sz w:val="32"/>
          <w:szCs w:val="32"/>
          <w:lang w:val="en-US" w:eastAsia="zh-CN"/>
        </w:rPr>
        <w:t>100</w:t>
      </w:r>
      <w:r>
        <w:rPr>
          <w:rFonts w:hint="default" w:ascii="Times New Roman" w:hAnsi="Times New Roman" w:cs="Times New Roman" w:eastAsiaTheme="minorEastAsia"/>
          <w:color w:val="auto"/>
          <w:sz w:val="32"/>
          <w:szCs w:val="32"/>
          <w:lang w:val="en-US" w:eastAsia="zh-CN"/>
        </w:rPr>
        <w:t>%，工程采购授予中小企业合同金额占工程支出金额的</w:t>
      </w:r>
      <w:r>
        <w:rPr>
          <w:rFonts w:hint="default" w:ascii="Times New Roman" w:hAnsi="Times New Roman" w:cs="Times New Roman" w:eastAsiaTheme="minorEastAsia"/>
          <w:color w:val="auto"/>
          <w:sz w:val="32"/>
          <w:szCs w:val="32"/>
        </w:rPr>
        <w:t>0</w:t>
      </w:r>
      <w:r>
        <w:rPr>
          <w:rFonts w:hint="default" w:ascii="Times New Roman" w:hAnsi="Times New Roman" w:cs="Times New Roman" w:eastAsiaTheme="minorEastAsia"/>
          <w:color w:val="auto"/>
          <w:sz w:val="32"/>
          <w:szCs w:val="32"/>
          <w:lang w:val="en-US" w:eastAsia="zh-CN"/>
        </w:rPr>
        <w:t>.00，服务采购授予中小企业合同金额占服务支出金额的</w:t>
      </w:r>
      <w:r>
        <w:rPr>
          <w:rFonts w:hint="default" w:ascii="Times New Roman" w:hAnsi="Times New Roman" w:cs="Times New Roman" w:eastAsiaTheme="minorEastAsia"/>
          <w:color w:val="auto"/>
          <w:sz w:val="32"/>
          <w:szCs w:val="32"/>
        </w:rPr>
        <w:t>0</w:t>
      </w:r>
      <w:r>
        <w:rPr>
          <w:rFonts w:hint="default" w:ascii="Times New Roman" w:hAnsi="Times New Roman" w:cs="Times New Roman" w:eastAsiaTheme="minorEastAsia"/>
          <w:color w:val="auto"/>
          <w:sz w:val="32"/>
          <w:szCs w:val="32"/>
          <w:lang w:val="en-US" w:eastAsia="zh-CN"/>
        </w:rPr>
        <w:t>.00</w:t>
      </w:r>
      <w:r>
        <w:rPr>
          <w:rFonts w:hint="eastAsia" w:ascii="Times New Roman" w:hAnsi="Times New Roman" w:cs="Times New Roman"/>
          <w:color w:val="auto"/>
          <w:sz w:val="32"/>
          <w:szCs w:val="32"/>
          <w:lang w:val="en-US" w:eastAsia="zh-CN"/>
        </w:rPr>
        <w:t>%</w:t>
      </w:r>
      <w:r>
        <w:rPr>
          <w:rFonts w:hint="default" w:ascii="Times New Roman" w:hAnsi="Times New Roman" w:cs="Times New Roman" w:eastAsiaTheme="minorEastAsia"/>
          <w:color w:val="auto"/>
          <w:sz w:val="32"/>
          <w:szCs w:val="32"/>
          <w:lang w:val="en-US" w:eastAsia="zh-CN"/>
        </w:rPr>
        <w:t>。</w:t>
      </w:r>
      <w:bookmarkStart w:id="3" w:name="_GoBack"/>
      <w:bookmarkEnd w:id="3"/>
    </w:p>
    <w:p>
      <w:pPr>
        <w:pStyle w:val="11"/>
        <w:ind w:firstLine="640" w:firstLineChars="200"/>
        <w:rPr>
          <w:rFonts w:hint="default" w:ascii="Times New Roman" w:hAnsi="Times New Roman" w:cs="Times New Roman"/>
          <w:b w:val="0"/>
          <w:bCs/>
          <w:color w:val="auto"/>
          <w:sz w:val="32"/>
          <w:szCs w:val="32"/>
        </w:rPr>
      </w:pPr>
      <w:r>
        <w:rPr>
          <w:rFonts w:hint="default" w:ascii="Times New Roman" w:hAnsi="Times New Roman" w:cs="Times New Roman"/>
          <w:b w:val="0"/>
          <w:bCs/>
          <w:color w:val="auto"/>
          <w:sz w:val="32"/>
          <w:szCs w:val="32"/>
        </w:rPr>
        <w:t>十二、国有资产占用情况说明</w:t>
      </w:r>
    </w:p>
    <w:p>
      <w:pPr>
        <w:pStyle w:val="11"/>
        <w:ind w:firstLine="640" w:firstLineChars="200"/>
        <w:rPr>
          <w:rFonts w:hint="default" w:ascii="Times New Roman" w:hAnsi="Times New Roman" w:cs="Times New Roman" w:eastAsiaTheme="minorEastAsia"/>
          <w:color w:val="auto"/>
          <w:sz w:val="32"/>
          <w:szCs w:val="32"/>
        </w:rPr>
      </w:pPr>
      <w:r>
        <w:rPr>
          <w:rFonts w:hint="default" w:ascii="Times New Roman" w:hAnsi="Times New Roman" w:cs="Times New Roman" w:eastAsiaTheme="minorEastAsia"/>
          <w:color w:val="auto"/>
          <w:sz w:val="32"/>
          <w:szCs w:val="32"/>
        </w:rPr>
        <w:t>截至202</w:t>
      </w:r>
      <w:r>
        <w:rPr>
          <w:rFonts w:hint="default" w:ascii="Times New Roman" w:hAnsi="Times New Roman" w:cs="Times New Roman" w:eastAsiaTheme="minorEastAsia"/>
          <w:color w:val="auto"/>
          <w:sz w:val="32"/>
          <w:szCs w:val="32"/>
          <w:lang w:val="en-US" w:eastAsia="zh-CN"/>
        </w:rPr>
        <w:t>1</w:t>
      </w:r>
      <w:r>
        <w:rPr>
          <w:rFonts w:hint="default" w:ascii="Times New Roman" w:hAnsi="Times New Roman" w:cs="Times New Roman" w:eastAsiaTheme="minorEastAsia"/>
          <w:color w:val="auto"/>
          <w:sz w:val="32"/>
          <w:szCs w:val="32"/>
        </w:rPr>
        <w:t>年12月31日，本</w:t>
      </w:r>
      <w:r>
        <w:rPr>
          <w:rFonts w:hint="eastAsia" w:ascii="Times New Roman" w:hAnsi="Times New Roman" w:cs="Times New Roman" w:eastAsiaTheme="minorEastAsia"/>
          <w:color w:val="auto"/>
          <w:sz w:val="32"/>
          <w:szCs w:val="32"/>
          <w:lang w:val="en-US" w:eastAsia="zh-CN"/>
        </w:rPr>
        <w:t>中心</w:t>
      </w:r>
      <w:r>
        <w:rPr>
          <w:rFonts w:hint="default" w:ascii="Times New Roman" w:hAnsi="Times New Roman" w:cs="Times New Roman" w:eastAsiaTheme="minorEastAsia"/>
          <w:color w:val="auto"/>
          <w:sz w:val="32"/>
          <w:szCs w:val="32"/>
        </w:rPr>
        <w:t>共有车辆0辆，其中，主要领导干部用车0辆，机要通信用车0辆、应急保障用车0辆、执法执勤用车0辆、特种专业技术用车0辆、其他用车0辆；单位价值50万元以上通用设备0台（套）；单位价值100万元以上专用设备0台（套）。</w:t>
      </w:r>
    </w:p>
    <w:p>
      <w:pPr>
        <w:pStyle w:val="11"/>
        <w:ind w:firstLine="640" w:firstLineChars="200"/>
        <w:rPr>
          <w:rFonts w:hint="default" w:ascii="Times New Roman" w:hAnsi="Times New Roman" w:cs="Times New Roman"/>
          <w:b w:val="0"/>
          <w:bCs/>
          <w:color w:val="auto"/>
          <w:sz w:val="32"/>
          <w:szCs w:val="32"/>
        </w:rPr>
      </w:pPr>
      <w:r>
        <w:rPr>
          <w:rFonts w:hint="default" w:ascii="Times New Roman" w:hAnsi="Times New Roman" w:cs="Times New Roman"/>
          <w:b w:val="0"/>
          <w:bCs/>
          <w:color w:val="auto"/>
          <w:sz w:val="32"/>
          <w:szCs w:val="32"/>
          <w:lang w:val="en-US" w:eastAsia="zh-CN"/>
        </w:rPr>
        <w:t>十三、</w:t>
      </w:r>
      <w:r>
        <w:rPr>
          <w:rFonts w:hint="default" w:ascii="Times New Roman" w:hAnsi="Times New Roman" w:cs="Times New Roman"/>
          <w:b w:val="0"/>
          <w:bCs/>
          <w:color w:val="auto"/>
          <w:sz w:val="32"/>
          <w:szCs w:val="32"/>
        </w:rPr>
        <w:t>关于202</w:t>
      </w:r>
      <w:r>
        <w:rPr>
          <w:rFonts w:hint="default" w:ascii="Times New Roman" w:hAnsi="Times New Roman" w:cs="Times New Roman"/>
          <w:b w:val="0"/>
          <w:bCs/>
          <w:color w:val="auto"/>
          <w:sz w:val="32"/>
          <w:szCs w:val="32"/>
          <w:lang w:val="en-US" w:eastAsia="zh-CN"/>
        </w:rPr>
        <w:t>1</w:t>
      </w:r>
      <w:r>
        <w:rPr>
          <w:rFonts w:hint="default" w:ascii="Times New Roman" w:hAnsi="Times New Roman" w:cs="Times New Roman"/>
          <w:b w:val="0"/>
          <w:bCs/>
          <w:color w:val="auto"/>
          <w:sz w:val="32"/>
          <w:szCs w:val="32"/>
        </w:rPr>
        <w:t>年度预算绩效情况的说明</w:t>
      </w:r>
    </w:p>
    <w:p>
      <w:pPr>
        <w:autoSpaceDE w:val="0"/>
        <w:autoSpaceDN w:val="0"/>
        <w:adjustRightInd w:val="0"/>
        <w:ind w:firstLine="640" w:firstLineChars="200"/>
        <w:jc w:val="left"/>
        <w:rPr>
          <w:rFonts w:hint="default" w:ascii="Times New Roman" w:hAnsi="Times New Roman" w:cs="Times New Roman"/>
          <w:color w:val="auto"/>
          <w:kern w:val="0"/>
          <w:sz w:val="32"/>
          <w:szCs w:val="32"/>
        </w:rPr>
      </w:pPr>
      <w:r>
        <w:rPr>
          <w:rFonts w:hint="default" w:ascii="Times New Roman" w:hAnsi="Times New Roman" w:cs="Times New Roman"/>
          <w:b/>
          <w:color w:val="auto"/>
          <w:kern w:val="0"/>
          <w:sz w:val="32"/>
          <w:szCs w:val="32"/>
        </w:rPr>
        <w:t>（</w:t>
      </w:r>
      <w:r>
        <w:rPr>
          <w:rFonts w:hint="eastAsia" w:ascii="Times New Roman" w:hAnsi="Times New Roman" w:cs="Times New Roman"/>
          <w:b/>
          <w:color w:val="auto"/>
          <w:kern w:val="0"/>
          <w:sz w:val="32"/>
          <w:szCs w:val="32"/>
          <w:lang w:eastAsia="zh-CN"/>
        </w:rPr>
        <w:t>一</w:t>
      </w:r>
      <w:r>
        <w:rPr>
          <w:rFonts w:hint="default" w:ascii="Times New Roman" w:hAnsi="Times New Roman" w:cs="Times New Roman"/>
          <w:b/>
          <w:color w:val="auto"/>
          <w:kern w:val="0"/>
          <w:sz w:val="32"/>
          <w:szCs w:val="32"/>
        </w:rPr>
        <w:t>）绩效管理评价工作开展情况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根据预算绩效管理要求，我中心组织对2021年度一般公共预算项目支出全面开展绩效自评，其中，</w:t>
      </w:r>
      <w:r>
        <w:rPr>
          <w:rFonts w:hint="default" w:ascii="Times New Roman" w:hAnsi="Times New Roman" w:cs="Times New Roman"/>
          <w:color w:val="auto"/>
          <w:kern w:val="2"/>
          <w:sz w:val="32"/>
          <w:szCs w:val="32"/>
          <w:highlight w:val="none"/>
          <w:lang w:val="en-US" w:eastAsia="zh-CN" w:bidi="ar-SA"/>
        </w:rPr>
        <w:t>二</w:t>
      </w:r>
      <w:r>
        <w:rPr>
          <w:rFonts w:hint="default" w:ascii="Times New Roman" w:hAnsi="Times New Roman" w:cs="Times New Roman" w:eastAsiaTheme="minorEastAsia"/>
          <w:color w:val="auto"/>
          <w:kern w:val="2"/>
          <w:sz w:val="32"/>
          <w:szCs w:val="32"/>
          <w:highlight w:val="none"/>
          <w:lang w:val="en-US" w:eastAsia="zh-CN" w:bidi="ar-SA"/>
        </w:rPr>
        <w:t>级项目</w:t>
      </w:r>
      <w:r>
        <w:rPr>
          <w:rFonts w:hint="default" w:ascii="Times New Roman" w:hAnsi="Times New Roman" w:cs="Times New Roman"/>
          <w:color w:val="auto"/>
          <w:kern w:val="2"/>
          <w:sz w:val="32"/>
          <w:szCs w:val="32"/>
          <w:highlight w:val="none"/>
          <w:lang w:val="en-US" w:eastAsia="zh-CN" w:bidi="ar-SA"/>
        </w:rPr>
        <w:t>4</w:t>
      </w:r>
      <w:r>
        <w:rPr>
          <w:rFonts w:hint="default" w:ascii="Times New Roman" w:hAnsi="Times New Roman" w:cs="Times New Roman" w:eastAsiaTheme="minorEastAsia"/>
          <w:color w:val="auto"/>
          <w:kern w:val="2"/>
          <w:sz w:val="32"/>
          <w:szCs w:val="32"/>
          <w:highlight w:val="none"/>
          <w:lang w:val="en-US" w:eastAsia="zh-CN" w:bidi="ar-SA"/>
        </w:rPr>
        <w:t>个</w:t>
      </w:r>
      <w:r>
        <w:rPr>
          <w:rFonts w:hint="default" w:ascii="Times New Roman" w:hAnsi="Times New Roman" w:cs="Times New Roman"/>
          <w:color w:val="auto"/>
          <w:kern w:val="2"/>
          <w:sz w:val="32"/>
          <w:szCs w:val="32"/>
          <w:highlight w:val="none"/>
          <w:lang w:val="en-US" w:eastAsia="zh-CN" w:bidi="ar-SA"/>
        </w:rPr>
        <w:t>（业务工作经费3个、省级专项经费1个）</w:t>
      </w:r>
      <w:r>
        <w:rPr>
          <w:rFonts w:hint="default" w:ascii="Times New Roman" w:hAnsi="Times New Roman" w:cs="Times New Roman" w:eastAsiaTheme="minorEastAsia"/>
          <w:color w:val="auto"/>
          <w:kern w:val="2"/>
          <w:sz w:val="32"/>
          <w:szCs w:val="32"/>
          <w:highlight w:val="none"/>
          <w:lang w:val="en-US" w:eastAsia="zh-CN" w:bidi="ar-SA"/>
        </w:rPr>
        <w:t>，共涉及资金147.40万元，占一般公共预算项目支出总额的100%。</w:t>
      </w:r>
      <w:r>
        <w:rPr>
          <w:rFonts w:hint="default" w:ascii="Times New Roman" w:hAnsi="Times New Roman" w:cs="Times New Roman"/>
          <w:color w:val="auto"/>
          <w:kern w:val="2"/>
          <w:sz w:val="32"/>
          <w:szCs w:val="32"/>
          <w:highlight w:val="none"/>
          <w:lang w:val="en-US" w:eastAsia="zh-CN" w:bidi="ar-SA"/>
        </w:rPr>
        <w:t>中心</w:t>
      </w:r>
      <w:r>
        <w:rPr>
          <w:rFonts w:hint="default" w:ascii="Times New Roman" w:hAnsi="Times New Roman" w:cs="Times New Roman" w:eastAsiaTheme="minorEastAsia"/>
          <w:color w:val="auto"/>
          <w:kern w:val="2"/>
          <w:sz w:val="32"/>
          <w:szCs w:val="32"/>
          <w:highlight w:val="none"/>
          <w:lang w:val="en-US" w:eastAsia="zh-CN" w:bidi="ar-SA"/>
        </w:rPr>
        <w:t>按要求及时开展绩效自评，但存在个别</w:t>
      </w:r>
      <w:r>
        <w:rPr>
          <w:rFonts w:hint="default" w:ascii="Times New Roman" w:hAnsi="Times New Roman" w:cs="Times New Roman"/>
          <w:color w:val="auto"/>
          <w:kern w:val="2"/>
          <w:sz w:val="32"/>
          <w:szCs w:val="32"/>
          <w:highlight w:val="none"/>
          <w:lang w:val="en-US" w:eastAsia="zh-CN" w:bidi="ar-SA"/>
        </w:rPr>
        <w:t>项目</w:t>
      </w:r>
      <w:r>
        <w:rPr>
          <w:rFonts w:hint="default" w:ascii="Times New Roman" w:hAnsi="Times New Roman" w:cs="Times New Roman" w:eastAsiaTheme="minorEastAsia"/>
          <w:color w:val="auto"/>
          <w:kern w:val="2"/>
          <w:sz w:val="32"/>
          <w:szCs w:val="32"/>
          <w:highlight w:val="none"/>
          <w:lang w:val="en-US" w:eastAsia="zh-CN" w:bidi="ar-SA"/>
        </w:rPr>
        <w:t>预算执行率不高</w:t>
      </w:r>
      <w:r>
        <w:rPr>
          <w:rFonts w:hint="default" w:ascii="Times New Roman" w:hAnsi="Times New Roman" w:cs="Times New Roman"/>
          <w:color w:val="auto"/>
          <w:kern w:val="2"/>
          <w:sz w:val="32"/>
          <w:szCs w:val="32"/>
          <w:highlight w:val="none"/>
          <w:lang w:val="en-US" w:eastAsia="zh-CN" w:bidi="ar-SA"/>
        </w:rPr>
        <w:t>的情况，主要原因是受疫情影响，部分工作采用线上方式进行。</w:t>
      </w:r>
    </w:p>
    <w:p>
      <w:pPr>
        <w:autoSpaceDE w:val="0"/>
        <w:autoSpaceDN w:val="0"/>
        <w:adjustRightInd w:val="0"/>
        <w:ind w:firstLine="640" w:firstLineChars="200"/>
        <w:jc w:val="left"/>
        <w:rPr>
          <w:rFonts w:hint="default" w:ascii="Times New Roman" w:hAnsi="Times New Roman" w:cs="Times New Roman"/>
          <w:b/>
          <w:color w:val="auto"/>
          <w:kern w:val="0"/>
          <w:sz w:val="32"/>
          <w:szCs w:val="32"/>
        </w:rPr>
      </w:pPr>
      <w:r>
        <w:rPr>
          <w:rFonts w:hint="default" w:ascii="Times New Roman" w:hAnsi="Times New Roman" w:cs="Times New Roman"/>
          <w:b/>
          <w:color w:val="auto"/>
          <w:kern w:val="0"/>
          <w:sz w:val="32"/>
          <w:szCs w:val="32"/>
        </w:rPr>
        <w:t>（</w:t>
      </w:r>
      <w:r>
        <w:rPr>
          <w:rFonts w:hint="eastAsia" w:ascii="Times New Roman" w:hAnsi="Times New Roman" w:cs="Times New Roman"/>
          <w:b/>
          <w:color w:val="auto"/>
          <w:kern w:val="0"/>
          <w:sz w:val="32"/>
          <w:szCs w:val="32"/>
          <w:lang w:eastAsia="zh-CN"/>
        </w:rPr>
        <w:t>二</w:t>
      </w:r>
      <w:r>
        <w:rPr>
          <w:rFonts w:hint="default" w:ascii="Times New Roman" w:hAnsi="Times New Roman" w:cs="Times New Roman"/>
          <w:b/>
          <w:color w:val="auto"/>
          <w:kern w:val="0"/>
          <w:sz w:val="32"/>
          <w:szCs w:val="32"/>
        </w:rPr>
        <w:t>）部门决算中项目绩效自评结果</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无部门决算中项目绩效自评结果。</w:t>
      </w:r>
    </w:p>
    <w:p>
      <w:pPr>
        <w:autoSpaceDE w:val="0"/>
        <w:autoSpaceDN w:val="0"/>
        <w:adjustRightInd w:val="0"/>
        <w:ind w:firstLine="640" w:firstLineChars="200"/>
        <w:jc w:val="left"/>
        <w:rPr>
          <w:rFonts w:hint="default" w:ascii="Times New Roman" w:hAnsi="Times New Roman" w:cs="Times New Roman"/>
          <w:b/>
          <w:color w:val="auto"/>
          <w:kern w:val="0"/>
          <w:sz w:val="32"/>
          <w:szCs w:val="32"/>
          <w:lang w:val="en-US" w:eastAsia="zh-CN"/>
        </w:rPr>
      </w:pPr>
      <w:r>
        <w:rPr>
          <w:rFonts w:hint="default" w:ascii="Times New Roman" w:hAnsi="Times New Roman" w:cs="Times New Roman"/>
          <w:b/>
          <w:color w:val="auto"/>
          <w:kern w:val="0"/>
          <w:sz w:val="32"/>
          <w:szCs w:val="32"/>
          <w:lang w:val="en-US" w:eastAsia="zh-CN"/>
        </w:rPr>
        <w:t>（</w:t>
      </w:r>
      <w:r>
        <w:rPr>
          <w:rFonts w:hint="eastAsia" w:ascii="Times New Roman" w:hAnsi="Times New Roman" w:cs="Times New Roman"/>
          <w:b/>
          <w:color w:val="auto"/>
          <w:kern w:val="0"/>
          <w:sz w:val="32"/>
          <w:szCs w:val="32"/>
          <w:lang w:val="en-US" w:eastAsia="zh-CN"/>
        </w:rPr>
        <w:t>三</w:t>
      </w:r>
      <w:r>
        <w:rPr>
          <w:rFonts w:hint="default" w:ascii="Times New Roman" w:hAnsi="Times New Roman" w:cs="Times New Roman"/>
          <w:b/>
          <w:color w:val="auto"/>
          <w:kern w:val="0"/>
          <w:sz w:val="32"/>
          <w:szCs w:val="32"/>
          <w:lang w:val="en-US" w:eastAsia="zh-CN"/>
        </w:rPr>
        <w:t>）</w:t>
      </w:r>
      <w:r>
        <w:rPr>
          <w:rFonts w:hint="default" w:ascii="Times New Roman" w:hAnsi="Times New Roman" w:cs="Times New Roman"/>
          <w:b/>
          <w:color w:val="auto"/>
          <w:kern w:val="0"/>
          <w:sz w:val="32"/>
          <w:szCs w:val="32"/>
        </w:rPr>
        <w:t>部门整体支出绩效自评结果</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default" w:ascii="Times New Roman" w:hAnsi="Times New Roman" w:cs="Times New Roman" w:eastAsiaTheme="minorEastAsia"/>
          <w:color w:val="auto"/>
          <w:kern w:val="2"/>
          <w:sz w:val="32"/>
          <w:szCs w:val="32"/>
          <w:highlight w:val="none"/>
          <w:lang w:val="en-US" w:eastAsia="zh-CN" w:bidi="ar-SA"/>
        </w:rPr>
      </w:pPr>
      <w:r>
        <w:rPr>
          <w:rFonts w:hint="default" w:ascii="Times New Roman" w:hAnsi="Times New Roman" w:cs="Times New Roman" w:eastAsiaTheme="minorEastAsia"/>
          <w:color w:val="auto"/>
          <w:kern w:val="2"/>
          <w:sz w:val="32"/>
          <w:szCs w:val="32"/>
          <w:highlight w:val="none"/>
          <w:lang w:val="en-US" w:eastAsia="zh-CN" w:bidi="ar-SA"/>
        </w:rPr>
        <w:t>中心按照《关于开展2021年度湖南省科技厅部门整体支出绩效自评工作的通知》，积极组织开展绩效自评</w:t>
      </w:r>
      <w:r>
        <w:rPr>
          <w:rFonts w:hint="default" w:ascii="Times New Roman" w:hAnsi="Times New Roman" w:cs="Times New Roman"/>
          <w:color w:val="auto"/>
          <w:kern w:val="2"/>
          <w:sz w:val="32"/>
          <w:szCs w:val="32"/>
          <w:highlight w:val="none"/>
          <w:lang w:val="en-US" w:eastAsia="zh-CN" w:bidi="ar-SA"/>
        </w:rPr>
        <w:t>工作</w:t>
      </w:r>
      <w:r>
        <w:rPr>
          <w:rFonts w:hint="default" w:ascii="Times New Roman" w:hAnsi="Times New Roman" w:cs="Times New Roman" w:eastAsiaTheme="minorEastAsia"/>
          <w:color w:val="auto"/>
          <w:kern w:val="2"/>
          <w:sz w:val="32"/>
          <w:szCs w:val="32"/>
          <w:highlight w:val="none"/>
          <w:lang w:val="en-US" w:eastAsia="zh-CN" w:bidi="ar-SA"/>
        </w:rPr>
        <w:t>，</w:t>
      </w:r>
      <w:r>
        <w:rPr>
          <w:rFonts w:hint="default" w:ascii="Times New Roman" w:hAnsi="Times New Roman" w:cs="Times New Roman"/>
          <w:color w:val="auto"/>
          <w:kern w:val="2"/>
          <w:sz w:val="32"/>
          <w:szCs w:val="32"/>
          <w:highlight w:val="none"/>
          <w:lang w:val="en-US" w:eastAsia="zh-CN" w:bidi="ar-SA"/>
        </w:rPr>
        <w:t>及时</w:t>
      </w:r>
      <w:r>
        <w:rPr>
          <w:rFonts w:hint="default" w:ascii="Times New Roman" w:hAnsi="Times New Roman" w:cs="Times New Roman" w:eastAsiaTheme="minorEastAsia"/>
          <w:color w:val="auto"/>
          <w:kern w:val="2"/>
          <w:sz w:val="32"/>
          <w:szCs w:val="32"/>
          <w:highlight w:val="none"/>
          <w:lang w:val="en-US" w:eastAsia="zh-CN" w:bidi="ar-SA"/>
        </w:rPr>
        <w:t>报送绩效自评材料，自评综合得分为98分，评价等级为“优”。</w:t>
      </w:r>
    </w:p>
    <w:p>
      <w:pPr>
        <w:pStyle w:val="11"/>
        <w:jc w:val="center"/>
        <w:rPr>
          <w:rFonts w:hint="default" w:ascii="Times New Roman" w:hAnsi="Times New Roman" w:cs="Times New Roman"/>
          <w:color w:val="auto"/>
          <w:sz w:val="72"/>
          <w:szCs w:val="72"/>
          <w:highlight w:val="yellow"/>
        </w:rPr>
      </w:pPr>
    </w:p>
    <w:p>
      <w:pPr>
        <w:pStyle w:val="11"/>
        <w:jc w:val="center"/>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p>
    <w:p>
      <w:pPr>
        <w:pStyle w:val="11"/>
        <w:jc w:val="both"/>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r>
        <w:rPr>
          <w:rFonts w:hint="default" w:ascii="Times New Roman" w:hAnsi="Times New Roman" w:cs="Times New Roman"/>
          <w:color w:val="auto"/>
          <w:sz w:val="72"/>
          <w:szCs w:val="72"/>
        </w:rPr>
        <w:t>第四部分</w:t>
      </w:r>
    </w:p>
    <w:p>
      <w:pPr>
        <w:jc w:val="center"/>
        <w:rPr>
          <w:rFonts w:hint="default" w:ascii="Times New Roman" w:hAnsi="Times New Roman" w:eastAsia="黑体" w:cs="Times New Roman"/>
          <w:color w:val="auto"/>
          <w:kern w:val="0"/>
          <w:sz w:val="70"/>
          <w:szCs w:val="70"/>
        </w:rPr>
      </w:pPr>
    </w:p>
    <w:p>
      <w:pPr>
        <w:jc w:val="center"/>
        <w:rPr>
          <w:rFonts w:hint="default" w:ascii="Times New Roman" w:hAnsi="Times New Roman" w:eastAsia="黑体" w:cs="Times New Roman"/>
          <w:color w:val="auto"/>
          <w:kern w:val="0"/>
          <w:sz w:val="70"/>
          <w:szCs w:val="70"/>
        </w:rPr>
      </w:pPr>
      <w:r>
        <w:rPr>
          <w:rFonts w:hint="default" w:ascii="Times New Roman" w:hAnsi="Times New Roman" w:eastAsia="黑体" w:cs="Times New Roman"/>
          <w:color w:val="auto"/>
          <w:kern w:val="0"/>
          <w:sz w:val="70"/>
          <w:szCs w:val="70"/>
        </w:rPr>
        <w:t>名词解释</w:t>
      </w:r>
    </w:p>
    <w:p>
      <w:pPr>
        <w:widowControl/>
        <w:jc w:val="left"/>
        <w:rPr>
          <w:rFonts w:hint="default" w:ascii="Times New Roman" w:hAnsi="Times New Roman" w:eastAsia="黑体" w:cs="Times New Roman"/>
          <w:color w:val="auto"/>
          <w:kern w:val="0"/>
          <w:sz w:val="70"/>
          <w:szCs w:val="70"/>
        </w:rPr>
      </w:pPr>
      <w:r>
        <w:rPr>
          <w:rFonts w:hint="default" w:ascii="Times New Roman" w:hAnsi="Times New Roman" w:eastAsia="黑体" w:cs="Times New Roman"/>
          <w:color w:val="auto"/>
          <w:kern w:val="0"/>
          <w:sz w:val="70"/>
          <w:szCs w:val="70"/>
        </w:rPr>
        <w:br w:type="page"/>
      </w:r>
    </w:p>
    <w:p>
      <w:pPr>
        <w:shd w:val="clear" w:color="auto" w:fill="FFFFFF"/>
        <w:spacing w:line="560" w:lineRule="exact"/>
        <w:ind w:firstLine="641"/>
        <w:rPr>
          <w:rFonts w:hint="default" w:ascii="Times New Roman" w:hAnsi="Times New Roman" w:eastAsia="宋体" w:cs="Times New Roman"/>
          <w:color w:val="auto"/>
          <w:kern w:val="0"/>
          <w:sz w:val="32"/>
          <w:szCs w:val="32"/>
        </w:rPr>
      </w:pPr>
      <w:r>
        <w:rPr>
          <w:rFonts w:hint="default" w:ascii="Times New Roman" w:hAnsi="Times New Roman" w:eastAsia="宋体" w:cs="Times New Roman"/>
          <w:color w:val="auto"/>
          <w:kern w:val="0"/>
          <w:sz w:val="32"/>
          <w:szCs w:val="32"/>
        </w:rPr>
        <w:t>一、财政拨款收入指财政当年拨付的资金。</w:t>
      </w:r>
    </w:p>
    <w:p>
      <w:pPr>
        <w:shd w:val="clear" w:color="auto" w:fill="FFFFFF"/>
        <w:spacing w:line="560" w:lineRule="exact"/>
        <w:ind w:firstLine="641"/>
        <w:rPr>
          <w:rFonts w:hint="default" w:ascii="Times New Roman" w:hAnsi="Times New Roman" w:eastAsia="宋体" w:cs="Times New Roman"/>
          <w:color w:val="auto"/>
          <w:kern w:val="0"/>
          <w:sz w:val="32"/>
          <w:szCs w:val="32"/>
        </w:rPr>
      </w:pPr>
      <w:r>
        <w:rPr>
          <w:rFonts w:hint="default" w:ascii="Times New Roman" w:hAnsi="Times New Roman" w:eastAsia="宋体" w:cs="Times New Roman"/>
          <w:color w:val="auto"/>
          <w:kern w:val="0"/>
          <w:sz w:val="32"/>
          <w:szCs w:val="32"/>
        </w:rPr>
        <w:t>二、事业收入指事业单位开展专业业务活动及辅助活动所取得的收入。</w:t>
      </w:r>
    </w:p>
    <w:p>
      <w:pPr>
        <w:shd w:val="clear" w:color="auto" w:fill="FFFFFF"/>
        <w:spacing w:line="560" w:lineRule="exact"/>
        <w:ind w:firstLine="641"/>
        <w:rPr>
          <w:rFonts w:hint="default" w:ascii="Times New Roman" w:hAnsi="Times New Roman" w:eastAsia="宋体" w:cs="Times New Roman"/>
          <w:color w:val="auto"/>
          <w:kern w:val="0"/>
          <w:sz w:val="32"/>
          <w:szCs w:val="32"/>
        </w:rPr>
      </w:pPr>
      <w:r>
        <w:rPr>
          <w:rFonts w:hint="default" w:ascii="Times New Roman" w:hAnsi="Times New Roman" w:eastAsia="宋体" w:cs="Times New Roman"/>
          <w:color w:val="auto"/>
          <w:kern w:val="0"/>
          <w:sz w:val="32"/>
          <w:szCs w:val="32"/>
        </w:rPr>
        <w:t>三、经营收入指事业单位在专业业务活动及其辅助活动之外开展非独立核算经营活动取得的收入。</w:t>
      </w:r>
    </w:p>
    <w:p>
      <w:pPr>
        <w:shd w:val="clear" w:color="auto" w:fill="FFFFFF"/>
        <w:spacing w:line="560" w:lineRule="exact"/>
        <w:ind w:firstLine="641"/>
        <w:rPr>
          <w:rFonts w:hint="default" w:ascii="Times New Roman" w:hAnsi="Times New Roman" w:eastAsia="宋体" w:cs="Times New Roman"/>
          <w:color w:val="auto"/>
          <w:kern w:val="0"/>
          <w:sz w:val="32"/>
          <w:szCs w:val="32"/>
        </w:rPr>
      </w:pPr>
      <w:r>
        <w:rPr>
          <w:rFonts w:hint="default" w:ascii="Times New Roman" w:hAnsi="Times New Roman" w:eastAsia="宋体" w:cs="Times New Roman"/>
          <w:color w:val="auto"/>
          <w:kern w:val="0"/>
          <w:sz w:val="32"/>
          <w:szCs w:val="32"/>
        </w:rPr>
        <w:t>四、其他收入指除上述“财政拨款收入”，“事业收入”、“经营收入”等以外的收入。主要是利息收入等。</w:t>
      </w:r>
    </w:p>
    <w:p>
      <w:pPr>
        <w:shd w:val="clear" w:color="auto" w:fill="FFFFFF"/>
        <w:spacing w:line="560" w:lineRule="exact"/>
        <w:ind w:firstLine="641"/>
        <w:rPr>
          <w:rFonts w:hint="default" w:ascii="Times New Roman" w:hAnsi="Times New Roman" w:eastAsia="宋体" w:cs="Times New Roman"/>
          <w:color w:val="auto"/>
          <w:kern w:val="0"/>
          <w:sz w:val="32"/>
          <w:szCs w:val="32"/>
        </w:rPr>
      </w:pPr>
      <w:r>
        <w:rPr>
          <w:rFonts w:hint="default" w:ascii="Times New Roman" w:hAnsi="Times New Roman" w:eastAsia="宋体" w:cs="Times New Roman"/>
          <w:color w:val="auto"/>
          <w:kern w:val="0"/>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shd w:val="clear" w:color="auto" w:fill="FFFFFF"/>
        <w:spacing w:line="560" w:lineRule="exact"/>
        <w:ind w:firstLine="641"/>
        <w:rPr>
          <w:rFonts w:hint="default" w:ascii="Times New Roman" w:hAnsi="Times New Roman" w:eastAsia="宋体" w:cs="Times New Roman"/>
          <w:color w:val="auto"/>
          <w:kern w:val="0"/>
          <w:sz w:val="32"/>
          <w:szCs w:val="32"/>
        </w:rPr>
      </w:pPr>
      <w:r>
        <w:rPr>
          <w:rFonts w:hint="default" w:ascii="Times New Roman" w:hAnsi="Times New Roman" w:eastAsia="宋体" w:cs="Times New Roman"/>
          <w:color w:val="auto"/>
          <w:kern w:val="0"/>
          <w:sz w:val="32"/>
          <w:szCs w:val="32"/>
        </w:rPr>
        <w:t>六、年初结转和结余指以前年度尚未完成、结转到本年按有关规定继续使用的资金。</w:t>
      </w:r>
    </w:p>
    <w:p>
      <w:pPr>
        <w:shd w:val="clear" w:color="auto" w:fill="FFFFFF"/>
        <w:spacing w:line="560" w:lineRule="exact"/>
        <w:ind w:firstLine="641"/>
        <w:rPr>
          <w:rFonts w:hint="default" w:ascii="Times New Roman" w:hAnsi="Times New Roman" w:eastAsia="宋体" w:cs="Times New Roman"/>
          <w:color w:val="auto"/>
          <w:kern w:val="0"/>
          <w:sz w:val="32"/>
          <w:szCs w:val="32"/>
        </w:rPr>
      </w:pPr>
      <w:r>
        <w:rPr>
          <w:rFonts w:hint="default" w:ascii="Times New Roman" w:hAnsi="Times New Roman" w:eastAsia="宋体" w:cs="Times New Roman"/>
          <w:color w:val="auto"/>
          <w:kern w:val="0"/>
          <w:sz w:val="32"/>
          <w:szCs w:val="32"/>
        </w:rPr>
        <w:t>七、结余分配指事业单位按规定提取的职工福利基金、事业基金和缴纳的所得税。</w:t>
      </w:r>
    </w:p>
    <w:p>
      <w:pPr>
        <w:shd w:val="clear" w:color="auto" w:fill="FFFFFF"/>
        <w:spacing w:line="560" w:lineRule="exact"/>
        <w:ind w:firstLine="641"/>
        <w:rPr>
          <w:rFonts w:hint="default" w:ascii="Times New Roman" w:hAnsi="Times New Roman" w:eastAsia="宋体" w:cs="Times New Roman"/>
          <w:color w:val="auto"/>
          <w:kern w:val="0"/>
          <w:sz w:val="32"/>
          <w:szCs w:val="32"/>
        </w:rPr>
      </w:pPr>
      <w:r>
        <w:rPr>
          <w:rFonts w:hint="default" w:ascii="Times New Roman" w:hAnsi="Times New Roman" w:eastAsia="宋体" w:cs="Times New Roman"/>
          <w:color w:val="auto"/>
          <w:kern w:val="0"/>
          <w:sz w:val="32"/>
          <w:szCs w:val="32"/>
        </w:rPr>
        <w:t>八、年末结转和结余指本年度或以前年度预算安排、因客观条件发生变化无法按原计划实施，需延迟到以后年度按有关规定继续使用的资金。</w:t>
      </w:r>
    </w:p>
    <w:p>
      <w:pPr>
        <w:shd w:val="clear" w:color="auto" w:fill="FFFFFF"/>
        <w:spacing w:line="560" w:lineRule="exact"/>
        <w:ind w:firstLine="641"/>
        <w:rPr>
          <w:rFonts w:hint="default" w:ascii="Times New Roman" w:hAnsi="Times New Roman" w:eastAsia="宋体" w:cs="Times New Roman"/>
          <w:color w:val="auto"/>
          <w:kern w:val="0"/>
          <w:sz w:val="32"/>
          <w:szCs w:val="32"/>
        </w:rPr>
      </w:pPr>
      <w:r>
        <w:rPr>
          <w:rFonts w:hint="default" w:ascii="Times New Roman" w:hAnsi="Times New Roman" w:eastAsia="宋体" w:cs="Times New Roman"/>
          <w:color w:val="auto"/>
          <w:kern w:val="0"/>
          <w:sz w:val="32"/>
          <w:szCs w:val="32"/>
        </w:rPr>
        <w:t>九、基本支出指为保障机构正常运转、完成日常工作任务而发生的人员支出和公用支出。</w:t>
      </w:r>
    </w:p>
    <w:p>
      <w:pPr>
        <w:shd w:val="clear" w:color="auto" w:fill="FFFFFF"/>
        <w:spacing w:line="560" w:lineRule="exact"/>
        <w:ind w:firstLine="641"/>
        <w:rPr>
          <w:rFonts w:hint="default" w:ascii="Times New Roman" w:hAnsi="Times New Roman" w:eastAsia="宋体" w:cs="Times New Roman"/>
          <w:color w:val="auto"/>
          <w:kern w:val="0"/>
          <w:sz w:val="32"/>
          <w:szCs w:val="32"/>
        </w:rPr>
      </w:pPr>
      <w:r>
        <w:rPr>
          <w:rFonts w:hint="default" w:ascii="Times New Roman" w:hAnsi="Times New Roman" w:eastAsia="宋体" w:cs="Times New Roman"/>
          <w:color w:val="auto"/>
          <w:kern w:val="0"/>
          <w:sz w:val="32"/>
          <w:szCs w:val="32"/>
        </w:rPr>
        <w:t>十、项目支出指在基本支出之外为完成特定行政任务和事业发展目标所发生的支出。</w:t>
      </w:r>
    </w:p>
    <w:p>
      <w:pPr>
        <w:shd w:val="clear" w:color="auto" w:fill="FFFFFF"/>
        <w:spacing w:line="560" w:lineRule="exact"/>
        <w:ind w:firstLine="641"/>
        <w:rPr>
          <w:rFonts w:hint="default" w:ascii="Times New Roman" w:hAnsi="Times New Roman" w:eastAsia="宋体" w:cs="Times New Roman"/>
          <w:color w:val="auto"/>
          <w:kern w:val="0"/>
          <w:sz w:val="32"/>
          <w:szCs w:val="32"/>
        </w:rPr>
      </w:pPr>
      <w:r>
        <w:rPr>
          <w:rFonts w:hint="default" w:ascii="Times New Roman" w:hAnsi="Times New Roman" w:eastAsia="宋体" w:cs="Times New Roman"/>
          <w:color w:val="auto"/>
          <w:kern w:val="0"/>
          <w:sz w:val="32"/>
          <w:szCs w:val="32"/>
        </w:rPr>
        <w:t>十一、经营支出指事业单位在专业业务活动及其辅助活动之外开展非独立核算经营活动发生的支出。</w:t>
      </w:r>
    </w:p>
    <w:p>
      <w:pPr>
        <w:shd w:val="clear" w:color="auto" w:fill="FFFFFF"/>
        <w:spacing w:line="560" w:lineRule="exact"/>
        <w:ind w:firstLine="641"/>
        <w:rPr>
          <w:rFonts w:hint="default" w:ascii="Times New Roman" w:hAnsi="Times New Roman" w:eastAsia="宋体" w:cs="Times New Roman"/>
          <w:color w:val="auto"/>
          <w:kern w:val="0"/>
          <w:sz w:val="32"/>
          <w:szCs w:val="32"/>
        </w:rPr>
      </w:pPr>
      <w:r>
        <w:rPr>
          <w:rFonts w:hint="default" w:ascii="Times New Roman" w:hAnsi="Times New Roman" w:eastAsia="宋体" w:cs="Times New Roman"/>
          <w:color w:val="auto"/>
          <w:kern w:val="0"/>
          <w:sz w:val="32"/>
          <w:szCs w:val="32"/>
        </w:rPr>
        <w:t>十二、“三公”经费：纳入财政预决算管理的“三公”经费，是指用财政拨款安排的因公出国(境)费、公务用车购置及运行费和公务接待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shd w:val="clear" w:color="auto" w:fill="FFFFFF"/>
        <w:spacing w:line="560" w:lineRule="exact"/>
        <w:ind w:firstLine="641"/>
        <w:rPr>
          <w:rFonts w:hint="default" w:ascii="Times New Roman" w:hAnsi="Times New Roman" w:eastAsia="宋体" w:cs="Times New Roman"/>
          <w:color w:val="auto"/>
          <w:kern w:val="0"/>
          <w:sz w:val="32"/>
          <w:szCs w:val="32"/>
        </w:rPr>
      </w:pPr>
      <w:r>
        <w:rPr>
          <w:rFonts w:hint="default" w:ascii="Times New Roman" w:hAnsi="Times New Roman" w:eastAsia="宋体" w:cs="Times New Roman"/>
          <w:color w:val="auto"/>
          <w:kern w:val="0"/>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1"/>
        <w:spacing w:line="560" w:lineRule="exact"/>
        <w:jc w:val="center"/>
        <w:rPr>
          <w:rFonts w:hint="default" w:ascii="Times New Roman" w:hAnsi="Times New Roman" w:eastAsia="宋体" w:cs="Times New Roman"/>
          <w:color w:val="auto"/>
          <w:sz w:val="72"/>
          <w:szCs w:val="72"/>
        </w:rPr>
      </w:pPr>
    </w:p>
    <w:p>
      <w:pPr>
        <w:pStyle w:val="11"/>
        <w:jc w:val="center"/>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p>
    <w:p>
      <w:pPr>
        <w:pStyle w:val="11"/>
        <w:jc w:val="center"/>
        <w:rPr>
          <w:rFonts w:hint="default" w:ascii="Times New Roman" w:hAnsi="Times New Roman" w:cs="Times New Roman"/>
          <w:color w:val="auto"/>
          <w:sz w:val="72"/>
          <w:szCs w:val="72"/>
        </w:rPr>
      </w:pPr>
    </w:p>
    <w:p>
      <w:pPr>
        <w:pStyle w:val="11"/>
        <w:jc w:val="both"/>
        <w:rPr>
          <w:rFonts w:hint="default" w:ascii="Times New Roman" w:hAnsi="Times New Roman" w:cs="Times New Roman"/>
          <w:color w:val="auto"/>
          <w:sz w:val="72"/>
          <w:szCs w:val="7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B573FD"/>
    <w:multiLevelType w:val="singleLevel"/>
    <w:tmpl w:val="6DB573F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yMjU1NDUyNDM4OGJmOGE0YWM0ZTliYjNkNTFiZDEifQ=="/>
  </w:docVars>
  <w:rsids>
    <w:rsidRoot w:val="004506F9"/>
    <w:rsid w:val="0002229B"/>
    <w:rsid w:val="000273BD"/>
    <w:rsid w:val="000415B7"/>
    <w:rsid w:val="00041E3F"/>
    <w:rsid w:val="00055DAA"/>
    <w:rsid w:val="00061F7B"/>
    <w:rsid w:val="000658A3"/>
    <w:rsid w:val="00074155"/>
    <w:rsid w:val="000873EF"/>
    <w:rsid w:val="000A3F69"/>
    <w:rsid w:val="000C13CB"/>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8F60D6D"/>
    <w:rsid w:val="0A9F54E4"/>
    <w:rsid w:val="0B732F2C"/>
    <w:rsid w:val="0C8748EC"/>
    <w:rsid w:val="0CB16402"/>
    <w:rsid w:val="0DC14423"/>
    <w:rsid w:val="0E060087"/>
    <w:rsid w:val="0E0C09DA"/>
    <w:rsid w:val="0F5B4403"/>
    <w:rsid w:val="12E7492B"/>
    <w:rsid w:val="13781A27"/>
    <w:rsid w:val="14AB7BDB"/>
    <w:rsid w:val="14E671A4"/>
    <w:rsid w:val="15AF4285"/>
    <w:rsid w:val="16AE750E"/>
    <w:rsid w:val="16B56D79"/>
    <w:rsid w:val="16DB47A7"/>
    <w:rsid w:val="17FC40BE"/>
    <w:rsid w:val="1C5046AB"/>
    <w:rsid w:val="1E546BED"/>
    <w:rsid w:val="21696E53"/>
    <w:rsid w:val="23A36BEB"/>
    <w:rsid w:val="273C6C32"/>
    <w:rsid w:val="277D1809"/>
    <w:rsid w:val="28EC45F2"/>
    <w:rsid w:val="2A367854"/>
    <w:rsid w:val="2BEB71E6"/>
    <w:rsid w:val="32930227"/>
    <w:rsid w:val="33A930DF"/>
    <w:rsid w:val="34AA1FBA"/>
    <w:rsid w:val="35587E37"/>
    <w:rsid w:val="365657A0"/>
    <w:rsid w:val="38505A06"/>
    <w:rsid w:val="3A6755EE"/>
    <w:rsid w:val="3AD24910"/>
    <w:rsid w:val="3B464036"/>
    <w:rsid w:val="3BDD426E"/>
    <w:rsid w:val="3C27070C"/>
    <w:rsid w:val="3F2FED0D"/>
    <w:rsid w:val="40684194"/>
    <w:rsid w:val="41B15F81"/>
    <w:rsid w:val="41E81277"/>
    <w:rsid w:val="44B813D4"/>
    <w:rsid w:val="45152C60"/>
    <w:rsid w:val="45673ECF"/>
    <w:rsid w:val="4AFD5D93"/>
    <w:rsid w:val="4BC96DF0"/>
    <w:rsid w:val="4C1A40B3"/>
    <w:rsid w:val="4C2A1508"/>
    <w:rsid w:val="4C3259CA"/>
    <w:rsid w:val="4CF996CC"/>
    <w:rsid w:val="4E2C1BA3"/>
    <w:rsid w:val="4F7C5E20"/>
    <w:rsid w:val="5980650D"/>
    <w:rsid w:val="5AD76600"/>
    <w:rsid w:val="5DDE7CA6"/>
    <w:rsid w:val="5DFD0FED"/>
    <w:rsid w:val="5EFA7CCD"/>
    <w:rsid w:val="5F924E9F"/>
    <w:rsid w:val="5FFA757D"/>
    <w:rsid w:val="600A2FD4"/>
    <w:rsid w:val="6256605D"/>
    <w:rsid w:val="65014506"/>
    <w:rsid w:val="65C6174B"/>
    <w:rsid w:val="67197E73"/>
    <w:rsid w:val="67F7FE43"/>
    <w:rsid w:val="6A3F7D1E"/>
    <w:rsid w:val="6B8974A3"/>
    <w:rsid w:val="6D633BC7"/>
    <w:rsid w:val="6E466313"/>
    <w:rsid w:val="76BE1FCB"/>
    <w:rsid w:val="77C525DD"/>
    <w:rsid w:val="77FE49FE"/>
    <w:rsid w:val="7CC83BA3"/>
    <w:rsid w:val="7DBED899"/>
    <w:rsid w:val="7DCC6611"/>
    <w:rsid w:val="7E374B3D"/>
    <w:rsid w:val="7E675FBE"/>
    <w:rsid w:val="7E7A575B"/>
    <w:rsid w:val="7EE309F0"/>
    <w:rsid w:val="7F7B8B85"/>
    <w:rsid w:val="97D6C2F1"/>
    <w:rsid w:val="9D7D882C"/>
    <w:rsid w:val="9FED564F"/>
    <w:rsid w:val="D3FFEBFC"/>
    <w:rsid w:val="D5FB3E2D"/>
    <w:rsid w:val="DEFF6B80"/>
    <w:rsid w:val="ECAF4466"/>
    <w:rsid w:val="EF6373CF"/>
    <w:rsid w:val="F17BE4E3"/>
    <w:rsid w:val="F1B95279"/>
    <w:rsid w:val="F9E6A9E3"/>
    <w:rsid w:val="F9FD4780"/>
    <w:rsid w:val="FF033B0A"/>
    <w:rsid w:val="FFE74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endnote text"/>
    <w:basedOn w:val="1"/>
    <w:next w:val="3"/>
    <w:unhideWhenUsed/>
    <w:qFormat/>
    <w:uiPriority w:val="99"/>
  </w:style>
  <w:style w:type="paragraph" w:styleId="3">
    <w:name w:val="Body Text"/>
    <w:basedOn w:val="1"/>
    <w:unhideWhenUsed/>
    <w:qFormat/>
    <w:uiPriority w:val="99"/>
    <w:pPr>
      <w:spacing w:line="640" w:lineRule="exact"/>
      <w:jc w:val="center"/>
    </w:pPr>
    <w:rPr>
      <w:sz w:val="44"/>
      <w:szCs w:val="44"/>
    </w:rPr>
  </w:style>
  <w:style w:type="paragraph" w:styleId="4">
    <w:name w:val="Balloon Text"/>
    <w:basedOn w:val="1"/>
    <w:link w:val="13"/>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paragraph" w:customStyle="1" w:styleId="11">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customStyle="1" w:styleId="12">
    <w:name w:val="List Paragraph"/>
    <w:basedOn w:val="1"/>
    <w:qFormat/>
    <w:uiPriority w:val="34"/>
    <w:pPr>
      <w:ind w:firstLine="420" w:firstLineChars="200"/>
    </w:pPr>
  </w:style>
  <w:style w:type="character" w:customStyle="1" w:styleId="13">
    <w:name w:val="批注框文本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24</Pages>
  <Words>6847</Words>
  <Characters>8563</Characters>
  <Lines>69</Lines>
  <Paragraphs>19</Paragraphs>
  <TotalTime>12</TotalTime>
  <ScaleCrop>false</ScaleCrop>
  <LinksUpToDate>false</LinksUpToDate>
  <CharactersWithSpaces>9726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2020-07-03T18:32:00Z</dcterms:created>
  <dc:creator>李航 null</dc:creator>
  <cp:lastModifiedBy>张W!!</cp:lastModifiedBy>
  <cp:lastPrinted>2023-09-20T15:56:00Z</cp:lastPrinted>
  <dcterms:modified xsi:type="dcterms:W3CDTF">2023-09-26T01:20:11Z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7C9948749014447D8869CD36DD8675D6_13</vt:lpwstr>
  </property>
</Properties>
</file>